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D8" w:rsidRDefault="009130CF">
      <w:pPr>
        <w:jc w:val="center"/>
        <w:rPr>
          <w:b/>
          <w:sz w:val="24"/>
          <w:szCs w:val="24"/>
          <w:u w:val="single"/>
        </w:rPr>
      </w:pPr>
      <w:bookmarkStart w:id="0" w:name="_GoBack"/>
      <w:bookmarkEnd w:id="0"/>
      <w:r>
        <w:rPr>
          <w:b/>
          <w:sz w:val="24"/>
          <w:szCs w:val="24"/>
          <w:u w:val="single"/>
        </w:rPr>
        <w:t>Careers Education, Information, Advice and Guidance at Shenley Brook End School 2020 - 2023</w:t>
      </w:r>
    </w:p>
    <w:p w:rsidR="001F30D8" w:rsidRDefault="009130CF">
      <w:r>
        <w:t xml:space="preserve">At Shenley Brook End School we believe that alongside supporting our students to reach their academic potential, the need to develop their skills and </w:t>
      </w:r>
      <w:proofErr w:type="gramStart"/>
      <w:r>
        <w:t>competencies  is</w:t>
      </w:r>
      <w:proofErr w:type="gramEnd"/>
      <w:r>
        <w:t xml:space="preserve"> also essential to ensure they leave us as rounded young people who are ready to be succes</w:t>
      </w:r>
      <w:r>
        <w:t>sful and happy as they progress along their individual pathways.   The careers programme embeds the development of these qualities within the school through targeted events, activities and a holistic approach to our student's education.</w:t>
      </w:r>
    </w:p>
    <w:p w:rsidR="001F30D8" w:rsidRDefault="009130CF">
      <w:r>
        <w:t xml:space="preserve">This plan outlines </w:t>
      </w:r>
      <w:r>
        <w:t>a 3-year strategy to achieve excellent careers and pathways education, is a continuation of the 2019 - 2020 plan and builds on the success achieved during this period.</w:t>
      </w:r>
    </w:p>
    <w:p w:rsidR="001F30D8" w:rsidRDefault="009130CF">
      <w:r>
        <w:t>The plan also meets the requirements of the 8 Gatsby Benchmarks, is aligned with both th</w:t>
      </w:r>
      <w:r>
        <w:t xml:space="preserve">e 5 Dimensions Trust Secondary School Improvement Plan and The School Improvement Plan while also embedding the whole school ethos of Belong, Believe, Become allowing are students to grow in confidence as they progress on their pathway journey through the </w:t>
      </w:r>
      <w:r>
        <w:t>school.</w:t>
      </w:r>
    </w:p>
    <w:p w:rsidR="001F30D8" w:rsidRDefault="009130CF">
      <w:r>
        <w:t xml:space="preserve">The Gatsby Benchmarks are: </w:t>
      </w:r>
    </w:p>
    <w:p w:rsidR="001F30D8" w:rsidRDefault="009130CF">
      <w:pPr>
        <w:numPr>
          <w:ilvl w:val="0"/>
          <w:numId w:val="1"/>
        </w:numPr>
        <w:pBdr>
          <w:top w:val="nil"/>
          <w:left w:val="nil"/>
          <w:bottom w:val="nil"/>
          <w:right w:val="nil"/>
          <w:between w:val="nil"/>
        </w:pBdr>
        <w:spacing w:after="0"/>
        <w:rPr>
          <w:color w:val="000000"/>
        </w:rPr>
      </w:pPr>
      <w:r>
        <w:rPr>
          <w:color w:val="000000"/>
        </w:rPr>
        <w:t xml:space="preserve">A stable careers programme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4127500</wp:posOffset>
                </wp:positionH>
                <wp:positionV relativeFrom="paragraph">
                  <wp:posOffset>25400</wp:posOffset>
                </wp:positionV>
                <wp:extent cx="209550" cy="133350"/>
                <wp:effectExtent l="0" t="0" r="0" b="0"/>
                <wp:wrapNone/>
                <wp:docPr id="13"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chemeClr val="dk2"/>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209550" cy="133350"/>
                <wp:effectExtent b="0" l="0" r="0" t="0"/>
                <wp:wrapNone/>
                <wp:docPr id="1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Learning from career and Labour Market Information</w:t>
      </w:r>
      <w:r>
        <w:rPr>
          <w:noProof/>
        </w:rPr>
        <mc:AlternateContent>
          <mc:Choice Requires="wpg">
            <w:drawing>
              <wp:anchor distT="0" distB="0" distL="114300" distR="114300" simplePos="0" relativeHeight="251659264" behindDoc="0" locked="0" layoutInCell="1" hidden="0" allowOverlap="1">
                <wp:simplePos x="0" y="0"/>
                <wp:positionH relativeFrom="column">
                  <wp:posOffset>4127500</wp:posOffset>
                </wp:positionH>
                <wp:positionV relativeFrom="paragraph">
                  <wp:posOffset>0</wp:posOffset>
                </wp:positionV>
                <wp:extent cx="209550" cy="133350"/>
                <wp:effectExtent l="0" t="0" r="0" b="0"/>
                <wp:wrapNone/>
                <wp:docPr id="11"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76923C"/>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209550" cy="133350"/>
                <wp:effectExtent b="0" l="0" r="0" t="0"/>
                <wp:wrapNone/>
                <wp:docPr id="1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Addre</w:t>
      </w:r>
      <w:r>
        <w:rPr>
          <w:color w:val="000000"/>
        </w:rPr>
        <w:t>ssing the needs of each pupil</w:t>
      </w:r>
      <w:r>
        <w:rPr>
          <w:noProof/>
        </w:rPr>
        <mc:AlternateContent>
          <mc:Choice Requires="wpg">
            <w:drawing>
              <wp:anchor distT="0" distB="0" distL="114300" distR="114300" simplePos="0" relativeHeight="251660288" behindDoc="0" locked="0" layoutInCell="1" hidden="0" allowOverlap="1">
                <wp:simplePos x="0" y="0"/>
                <wp:positionH relativeFrom="column">
                  <wp:posOffset>4127500</wp:posOffset>
                </wp:positionH>
                <wp:positionV relativeFrom="paragraph">
                  <wp:posOffset>0</wp:posOffset>
                </wp:positionV>
                <wp:extent cx="209550" cy="133350"/>
                <wp:effectExtent l="0" t="0" r="0" b="0"/>
                <wp:wrapNone/>
                <wp:docPr id="16"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FFFF00"/>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209550" cy="133350"/>
                <wp:effectExtent b="0" l="0" r="0" t="0"/>
                <wp:wrapNone/>
                <wp:docPr id="1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Linking curriculum learning to careers</w:t>
      </w:r>
      <w:r>
        <w:rPr>
          <w:noProof/>
        </w:rPr>
        <mc:AlternateContent>
          <mc:Choice Requires="wpg">
            <w:drawing>
              <wp:anchor distT="0" distB="0" distL="114300" distR="114300" simplePos="0" relativeHeight="251661312" behindDoc="0" locked="0" layoutInCell="1" hidden="0" allowOverlap="1">
                <wp:simplePos x="0" y="0"/>
                <wp:positionH relativeFrom="column">
                  <wp:posOffset>4127500</wp:posOffset>
                </wp:positionH>
                <wp:positionV relativeFrom="paragraph">
                  <wp:posOffset>12700</wp:posOffset>
                </wp:positionV>
                <wp:extent cx="209550" cy="133350"/>
                <wp:effectExtent l="0" t="0" r="0" b="0"/>
                <wp:wrapNone/>
                <wp:docPr id="12"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5F497A"/>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12700</wp:posOffset>
                </wp:positionV>
                <wp:extent cx="209550" cy="133350"/>
                <wp:effectExtent b="0" l="0" r="0" t="0"/>
                <wp:wrapNone/>
                <wp:docPr id="1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Encounters with employers and employees</w:t>
      </w:r>
      <w:r>
        <w:rPr>
          <w:noProof/>
        </w:rPr>
        <mc:AlternateContent>
          <mc:Choice Requires="wpg">
            <w:drawing>
              <wp:anchor distT="0" distB="0" distL="114300" distR="114300" simplePos="0" relativeHeight="251662336" behindDoc="0" locked="0" layoutInCell="1" hidden="0" allowOverlap="1">
                <wp:simplePos x="0" y="0"/>
                <wp:positionH relativeFrom="column">
                  <wp:posOffset>4127500</wp:posOffset>
                </wp:positionH>
                <wp:positionV relativeFrom="paragraph">
                  <wp:posOffset>12700</wp:posOffset>
                </wp:positionV>
                <wp:extent cx="209550" cy="133350"/>
                <wp:effectExtent l="0" t="0" r="0" b="0"/>
                <wp:wrapNone/>
                <wp:docPr id="9"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953734"/>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12700</wp:posOffset>
                </wp:positionV>
                <wp:extent cx="209550" cy="133350"/>
                <wp:effectExtent b="0" l="0" r="0" t="0"/>
                <wp:wrapNone/>
                <wp:docPr id="9"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Experience of workplaces</w:t>
      </w:r>
      <w:r>
        <w:rPr>
          <w:noProof/>
        </w:rPr>
        <mc:AlternateContent>
          <mc:Choice Requires="wpg">
            <w:drawing>
              <wp:anchor distT="0" distB="0" distL="114300" distR="114300" simplePos="0" relativeHeight="251663360" behindDoc="0" locked="0" layoutInCell="1" hidden="0" allowOverlap="1">
                <wp:simplePos x="0" y="0"/>
                <wp:positionH relativeFrom="column">
                  <wp:posOffset>4127500</wp:posOffset>
                </wp:positionH>
                <wp:positionV relativeFrom="paragraph">
                  <wp:posOffset>0</wp:posOffset>
                </wp:positionV>
                <wp:extent cx="209550" cy="133350"/>
                <wp:effectExtent l="0" t="0" r="0" b="0"/>
                <wp:wrapNone/>
                <wp:docPr id="10"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974806"/>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209550" cy="133350"/>
                <wp:effectExtent b="0" l="0" r="0" t="0"/>
                <wp:wrapNone/>
                <wp:docPr id="1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spacing w:after="0"/>
        <w:rPr>
          <w:color w:val="000000"/>
        </w:rPr>
      </w:pPr>
      <w:r>
        <w:rPr>
          <w:color w:val="000000"/>
        </w:rPr>
        <w:t>Encounters with Further and Higher education</w:t>
      </w:r>
      <w:r>
        <w:rPr>
          <w:noProof/>
        </w:rPr>
        <mc:AlternateContent>
          <mc:Choice Requires="wpg">
            <w:drawing>
              <wp:anchor distT="0" distB="0" distL="114300" distR="114300" simplePos="0" relativeHeight="251664384" behindDoc="0" locked="0" layoutInCell="1" hidden="0" allowOverlap="1">
                <wp:simplePos x="0" y="0"/>
                <wp:positionH relativeFrom="column">
                  <wp:posOffset>4127500</wp:posOffset>
                </wp:positionH>
                <wp:positionV relativeFrom="paragraph">
                  <wp:posOffset>0</wp:posOffset>
                </wp:positionV>
                <wp:extent cx="209550" cy="133350"/>
                <wp:effectExtent l="0" t="0" r="0" b="0"/>
                <wp:wrapNone/>
                <wp:docPr id="14"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FF0000"/>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209550" cy="133350"/>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09550" cy="133350"/>
                        </a:xfrm>
                        <a:prstGeom prst="rect"/>
                        <a:ln/>
                      </pic:spPr>
                    </pic:pic>
                  </a:graphicData>
                </a:graphic>
              </wp:anchor>
            </w:drawing>
          </mc:Fallback>
        </mc:AlternateContent>
      </w:r>
    </w:p>
    <w:p w:rsidR="001F30D8" w:rsidRDefault="009130CF">
      <w:pPr>
        <w:numPr>
          <w:ilvl w:val="0"/>
          <w:numId w:val="1"/>
        </w:numPr>
        <w:pBdr>
          <w:top w:val="nil"/>
          <w:left w:val="nil"/>
          <w:bottom w:val="nil"/>
          <w:right w:val="nil"/>
          <w:between w:val="nil"/>
        </w:pBdr>
        <w:rPr>
          <w:color w:val="000000"/>
        </w:rPr>
      </w:pPr>
      <w:r>
        <w:rPr>
          <w:color w:val="000000"/>
        </w:rPr>
        <w:t>Personal Guidance</w:t>
      </w:r>
      <w:r>
        <w:rPr>
          <w:noProof/>
        </w:rPr>
        <mc:AlternateContent>
          <mc:Choice Requires="wpg">
            <w:drawing>
              <wp:anchor distT="0" distB="0" distL="114300" distR="114300" simplePos="0" relativeHeight="251665408" behindDoc="0" locked="0" layoutInCell="1" hidden="0" allowOverlap="1">
                <wp:simplePos x="0" y="0"/>
                <wp:positionH relativeFrom="column">
                  <wp:posOffset>4127500</wp:posOffset>
                </wp:positionH>
                <wp:positionV relativeFrom="paragraph">
                  <wp:posOffset>0</wp:posOffset>
                </wp:positionV>
                <wp:extent cx="209550" cy="133350"/>
                <wp:effectExtent l="0" t="0" r="0" b="0"/>
                <wp:wrapNone/>
                <wp:docPr id="15" name=""/>
                <wp:cNvGraphicFramePr/>
                <a:graphic xmlns:a="http://schemas.openxmlformats.org/drawingml/2006/main">
                  <a:graphicData uri="http://schemas.microsoft.com/office/word/2010/wordprocessingShape">
                    <wps:wsp>
                      <wps:cNvSpPr/>
                      <wps:spPr>
                        <a:xfrm>
                          <a:off x="5253925" y="3726025"/>
                          <a:ext cx="184150" cy="107950"/>
                        </a:xfrm>
                        <a:prstGeom prst="roundRect">
                          <a:avLst>
                            <a:gd name="adj" fmla="val 16667"/>
                          </a:avLst>
                        </a:prstGeom>
                        <a:solidFill>
                          <a:srgbClr val="92D050"/>
                        </a:solidFill>
                        <a:ln w="25400" cap="flat" cmpd="sng">
                          <a:solidFill>
                            <a:srgbClr val="395E89"/>
                          </a:solidFill>
                          <a:prstDash val="solid"/>
                          <a:round/>
                          <a:headEnd type="none" w="sm" len="sm"/>
                          <a:tailEnd type="none" w="sm" len="sm"/>
                        </a:ln>
                      </wps:spPr>
                      <wps:txbx>
                        <w:txbxContent>
                          <w:p w:rsidR="001F30D8" w:rsidRDefault="001F30D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4127500</wp:posOffset>
                </wp:positionH>
                <wp:positionV relativeFrom="paragraph">
                  <wp:posOffset>0</wp:posOffset>
                </wp:positionV>
                <wp:extent cx="209550" cy="133350"/>
                <wp:effectExtent b="0" l="0" r="0" t="0"/>
                <wp:wrapNone/>
                <wp:docPr id="1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09550" cy="133350"/>
                        </a:xfrm>
                        <a:prstGeom prst="rect"/>
                        <a:ln/>
                      </pic:spPr>
                    </pic:pic>
                  </a:graphicData>
                </a:graphic>
              </wp:anchor>
            </w:drawing>
          </mc:Fallback>
        </mc:AlternateContent>
      </w:r>
    </w:p>
    <w:p w:rsidR="001F30D8" w:rsidRDefault="009130CF">
      <w:pPr>
        <w:rPr>
          <w:b/>
        </w:rPr>
      </w:pPr>
      <w:r>
        <w:rPr>
          <w:b/>
        </w:rPr>
        <w:t>The Aims of the programme:</w:t>
      </w:r>
    </w:p>
    <w:p w:rsidR="001F30D8" w:rsidRDefault="009130CF">
      <w:pPr>
        <w:numPr>
          <w:ilvl w:val="0"/>
          <w:numId w:val="11"/>
        </w:numPr>
        <w:pBdr>
          <w:top w:val="nil"/>
          <w:left w:val="nil"/>
          <w:bottom w:val="nil"/>
          <w:right w:val="nil"/>
          <w:between w:val="nil"/>
        </w:pBdr>
        <w:spacing w:after="0"/>
        <w:rPr>
          <w:color w:val="000000"/>
        </w:rPr>
      </w:pPr>
      <w:r>
        <w:t>Nurture meaningful connections within the wider community.</w:t>
      </w:r>
    </w:p>
    <w:p w:rsidR="001F30D8" w:rsidRDefault="009130CF">
      <w:pPr>
        <w:numPr>
          <w:ilvl w:val="0"/>
          <w:numId w:val="11"/>
        </w:numPr>
        <w:pBdr>
          <w:top w:val="nil"/>
          <w:left w:val="nil"/>
          <w:bottom w:val="nil"/>
          <w:right w:val="nil"/>
          <w:between w:val="nil"/>
        </w:pBdr>
        <w:spacing w:after="0"/>
        <w:rPr>
          <w:color w:val="000000"/>
        </w:rPr>
      </w:pPr>
      <w:r>
        <w:t>Developing the skills that current and future labour markets demand.</w:t>
      </w:r>
    </w:p>
    <w:p w:rsidR="001F30D8" w:rsidRDefault="009130CF">
      <w:pPr>
        <w:numPr>
          <w:ilvl w:val="0"/>
          <w:numId w:val="11"/>
        </w:numPr>
        <w:pBdr>
          <w:top w:val="nil"/>
          <w:left w:val="nil"/>
          <w:bottom w:val="nil"/>
          <w:right w:val="nil"/>
          <w:between w:val="nil"/>
        </w:pBdr>
        <w:spacing w:after="0"/>
      </w:pPr>
      <w:r>
        <w:t>Linking curriculum learning to careers.</w:t>
      </w:r>
    </w:p>
    <w:p w:rsidR="001F30D8" w:rsidRDefault="009130CF">
      <w:pPr>
        <w:numPr>
          <w:ilvl w:val="0"/>
          <w:numId w:val="11"/>
        </w:numPr>
        <w:pBdr>
          <w:top w:val="nil"/>
          <w:left w:val="nil"/>
          <w:bottom w:val="nil"/>
          <w:right w:val="nil"/>
          <w:between w:val="nil"/>
        </w:pBdr>
        <w:spacing w:after="0"/>
      </w:pPr>
      <w:r>
        <w:lastRenderedPageBreak/>
        <w:t>Inspiring students on the range of opportunities.</w:t>
      </w:r>
    </w:p>
    <w:p w:rsidR="001F30D8" w:rsidRDefault="009130CF">
      <w:pPr>
        <w:numPr>
          <w:ilvl w:val="0"/>
          <w:numId w:val="11"/>
        </w:numPr>
        <w:pBdr>
          <w:top w:val="nil"/>
          <w:left w:val="nil"/>
          <w:bottom w:val="nil"/>
          <w:right w:val="nil"/>
          <w:between w:val="nil"/>
        </w:pBdr>
        <w:rPr>
          <w:color w:val="000000"/>
        </w:rPr>
      </w:pPr>
      <w:r>
        <w:t>Supporting individuals to make success</w:t>
      </w:r>
      <w:r>
        <w:t>ful transitions at Post 16 and Post 18.</w:t>
      </w:r>
    </w:p>
    <w:p w:rsidR="001F30D8" w:rsidRDefault="001F30D8"/>
    <w:tbl>
      <w:tblPr>
        <w:tblStyle w:val="a"/>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1"/>
        <w:gridCol w:w="1921"/>
        <w:gridCol w:w="2706"/>
        <w:gridCol w:w="2712"/>
        <w:gridCol w:w="2712"/>
        <w:gridCol w:w="2713"/>
      </w:tblGrid>
      <w:tr w:rsidR="001F30D8">
        <w:tc>
          <w:tcPr>
            <w:tcW w:w="1921" w:type="dxa"/>
          </w:tcPr>
          <w:p w:rsidR="001F30D8" w:rsidRDefault="009130CF">
            <w:pPr>
              <w:jc w:val="center"/>
              <w:rPr>
                <w:b/>
              </w:rPr>
            </w:pPr>
            <w:r>
              <w:rPr>
                <w:b/>
              </w:rPr>
              <w:t>Trust Improvement Plan</w:t>
            </w:r>
          </w:p>
        </w:tc>
        <w:tc>
          <w:tcPr>
            <w:tcW w:w="1921" w:type="dxa"/>
          </w:tcPr>
          <w:p w:rsidR="001F30D8" w:rsidRDefault="009130CF">
            <w:pPr>
              <w:jc w:val="center"/>
              <w:rPr>
                <w:b/>
              </w:rPr>
            </w:pPr>
            <w:r>
              <w:rPr>
                <w:b/>
              </w:rPr>
              <w:t>School Improvement Plan</w:t>
            </w:r>
          </w:p>
        </w:tc>
        <w:tc>
          <w:tcPr>
            <w:tcW w:w="2706" w:type="dxa"/>
          </w:tcPr>
          <w:p w:rsidR="001F30D8" w:rsidRDefault="009130CF">
            <w:pPr>
              <w:jc w:val="center"/>
              <w:rPr>
                <w:b/>
              </w:rPr>
            </w:pPr>
            <w:r>
              <w:rPr>
                <w:b/>
              </w:rPr>
              <w:t>Overall Aim</w:t>
            </w:r>
          </w:p>
        </w:tc>
        <w:tc>
          <w:tcPr>
            <w:tcW w:w="2712" w:type="dxa"/>
          </w:tcPr>
          <w:p w:rsidR="001F30D8" w:rsidRDefault="009130CF">
            <w:pPr>
              <w:jc w:val="center"/>
              <w:rPr>
                <w:b/>
              </w:rPr>
            </w:pPr>
            <w:r>
              <w:rPr>
                <w:b/>
              </w:rPr>
              <w:t>Milestone 1 Year 1</w:t>
            </w:r>
          </w:p>
        </w:tc>
        <w:tc>
          <w:tcPr>
            <w:tcW w:w="2712" w:type="dxa"/>
          </w:tcPr>
          <w:p w:rsidR="001F30D8" w:rsidRDefault="009130CF">
            <w:pPr>
              <w:jc w:val="center"/>
              <w:rPr>
                <w:b/>
              </w:rPr>
            </w:pPr>
            <w:r>
              <w:rPr>
                <w:b/>
              </w:rPr>
              <w:t>Milestone 2 Year 2</w:t>
            </w:r>
          </w:p>
        </w:tc>
        <w:tc>
          <w:tcPr>
            <w:tcW w:w="2713" w:type="dxa"/>
          </w:tcPr>
          <w:p w:rsidR="001F30D8" w:rsidRDefault="009130CF">
            <w:pPr>
              <w:jc w:val="center"/>
              <w:rPr>
                <w:b/>
              </w:rPr>
            </w:pPr>
            <w:r>
              <w:rPr>
                <w:b/>
              </w:rPr>
              <w:t>Milestone 3 Year 3</w:t>
            </w:r>
          </w:p>
        </w:tc>
      </w:tr>
      <w:tr w:rsidR="001F30D8">
        <w:tc>
          <w:tcPr>
            <w:tcW w:w="1921" w:type="dxa"/>
          </w:tcPr>
          <w:p w:rsidR="001F30D8" w:rsidRDefault="009130CF">
            <w:pPr>
              <w:rPr>
                <w:b/>
              </w:rPr>
            </w:pPr>
            <w:r>
              <w:rPr>
                <w:b/>
              </w:rPr>
              <w:t>Rising together to the rigour of academic challenge</w:t>
            </w:r>
          </w:p>
          <w:p w:rsidR="001F30D8" w:rsidRDefault="001F30D8">
            <w:pPr>
              <w:rPr>
                <w:b/>
              </w:rPr>
            </w:pPr>
          </w:p>
        </w:tc>
        <w:tc>
          <w:tcPr>
            <w:tcW w:w="1921" w:type="dxa"/>
          </w:tcPr>
          <w:p w:rsidR="001F30D8" w:rsidRDefault="009130CF">
            <w:pPr>
              <w:rPr>
                <w:b/>
              </w:rPr>
            </w:pPr>
            <w:r>
              <w:rPr>
                <w:b/>
              </w:rPr>
              <w:t>Magenta/MK2050</w:t>
            </w:r>
          </w:p>
        </w:tc>
        <w:tc>
          <w:tcPr>
            <w:tcW w:w="2706" w:type="dxa"/>
          </w:tcPr>
          <w:p w:rsidR="001F30D8" w:rsidRDefault="009130CF">
            <w:r>
              <w:t>Staff use Magenta principles to link the curriculum to pathways and embed this approach in lesson plans and curriculum maps.</w:t>
            </w:r>
          </w:p>
          <w:p w:rsidR="001F30D8" w:rsidRDefault="009130CF">
            <w:r>
              <w:t>Students can link all subjects to different career pathways.</w:t>
            </w:r>
          </w:p>
          <w:p w:rsidR="001F30D8" w:rsidRDefault="001F30D8"/>
        </w:tc>
        <w:tc>
          <w:tcPr>
            <w:tcW w:w="2712" w:type="dxa"/>
          </w:tcPr>
          <w:p w:rsidR="001F30D8" w:rsidRDefault="009130CF">
            <w:r>
              <w:t>Each subject delivers careers in the curriculum 3 times over the year</w:t>
            </w:r>
            <w:r>
              <w:t xml:space="preserve"> to each year group.</w:t>
            </w:r>
          </w:p>
          <w:p w:rsidR="001F30D8" w:rsidRDefault="009130CF">
            <w:r>
              <w:t>All students have the opportunity to meet or hear from local employers to discover how local opportunities relate to their curriculum subjects.</w:t>
            </w:r>
          </w:p>
          <w:p w:rsidR="001F30D8" w:rsidRDefault="001F30D8"/>
        </w:tc>
        <w:tc>
          <w:tcPr>
            <w:tcW w:w="2712" w:type="dxa"/>
          </w:tcPr>
          <w:p w:rsidR="001F30D8" w:rsidRDefault="009130CF">
            <w:r>
              <w:t>Each subject delivers careers in the curriculum 6 times over the year to each year group</w:t>
            </w:r>
          </w:p>
          <w:p w:rsidR="001F30D8" w:rsidRDefault="009130CF">
            <w:r>
              <w:t>A</w:t>
            </w:r>
            <w:r>
              <w:t>ll students have the opportunity to meet or hear from local employers to discover how local opportunities relate to their curriculum subjects.</w:t>
            </w:r>
          </w:p>
          <w:p w:rsidR="001F30D8" w:rsidRDefault="001F30D8"/>
        </w:tc>
        <w:tc>
          <w:tcPr>
            <w:tcW w:w="2713" w:type="dxa"/>
          </w:tcPr>
          <w:p w:rsidR="001F30D8" w:rsidRDefault="009130CF">
            <w:r>
              <w:t>Each subject delivers careers in the curriculum 9 times over the year to each year group.</w:t>
            </w:r>
          </w:p>
          <w:p w:rsidR="001F30D8" w:rsidRDefault="009130CF">
            <w:r>
              <w:t xml:space="preserve">All students have the </w:t>
            </w:r>
            <w:r>
              <w:t>opportunity to meet or hear from local employers to discover how local opportunities relate to their curriculum subjects.</w:t>
            </w:r>
          </w:p>
          <w:p w:rsidR="001F30D8" w:rsidRDefault="001F30D8"/>
        </w:tc>
      </w:tr>
      <w:tr w:rsidR="001F30D8">
        <w:tc>
          <w:tcPr>
            <w:tcW w:w="1921" w:type="dxa"/>
          </w:tcPr>
          <w:p w:rsidR="001F30D8" w:rsidRDefault="009130CF">
            <w:pPr>
              <w:rPr>
                <w:b/>
              </w:rPr>
            </w:pPr>
            <w:r>
              <w:rPr>
                <w:b/>
              </w:rPr>
              <w:t>Collaborating to ensure a truly holistic education</w:t>
            </w:r>
          </w:p>
        </w:tc>
        <w:tc>
          <w:tcPr>
            <w:tcW w:w="1921" w:type="dxa"/>
          </w:tcPr>
          <w:p w:rsidR="001F30D8" w:rsidRDefault="009130CF">
            <w:pPr>
              <w:rPr>
                <w:b/>
              </w:rPr>
            </w:pPr>
            <w:r>
              <w:rPr>
                <w:b/>
              </w:rPr>
              <w:t>BBB</w:t>
            </w:r>
          </w:p>
        </w:tc>
        <w:tc>
          <w:tcPr>
            <w:tcW w:w="2706" w:type="dxa"/>
          </w:tcPr>
          <w:p w:rsidR="001F30D8" w:rsidRDefault="009130CF">
            <w:r>
              <w:t>All students can articulate their career aspirations and the behaviours neede</w:t>
            </w:r>
            <w:r>
              <w:t>d to achieve success along their chosen pathway. Students understand the importance of developing their skills and competencies.</w:t>
            </w:r>
          </w:p>
        </w:tc>
        <w:tc>
          <w:tcPr>
            <w:tcW w:w="2712" w:type="dxa"/>
          </w:tcPr>
          <w:p w:rsidR="001F30D8" w:rsidRDefault="009130CF">
            <w:r>
              <w:t>All students in Year 7 can articulate their aspirations.</w:t>
            </w:r>
          </w:p>
          <w:p w:rsidR="001F30D8" w:rsidRDefault="009130CF">
            <w:r>
              <w:t xml:space="preserve">Students in Year 8, 9, 10, 11, 12 and 13 can identify </w:t>
            </w:r>
            <w:proofErr w:type="gramStart"/>
            <w:r>
              <w:t>their chosen career path and how their subjects may support this</w:t>
            </w:r>
            <w:proofErr w:type="gramEnd"/>
            <w:r>
              <w:t>.</w:t>
            </w:r>
          </w:p>
          <w:p w:rsidR="001F30D8" w:rsidRDefault="009130CF">
            <w:r>
              <w:t>Students in Year 11, 12 and 13 will be able to identify their next steps for their chosen career path.</w:t>
            </w:r>
          </w:p>
          <w:p w:rsidR="001F30D8" w:rsidRDefault="001F30D8"/>
        </w:tc>
        <w:tc>
          <w:tcPr>
            <w:tcW w:w="2712" w:type="dxa"/>
          </w:tcPr>
          <w:p w:rsidR="001F30D8" w:rsidRDefault="009130CF">
            <w:r>
              <w:t>All students in Year 7 can artic</w:t>
            </w:r>
            <w:r>
              <w:t>ulate their aspirations.</w:t>
            </w:r>
          </w:p>
          <w:p w:rsidR="001F30D8" w:rsidRDefault="009130CF">
            <w:r>
              <w:t>Students in Years 8, 9, 10, 11, 12 and 13 can identify their chosen career path and how their subjects may support this</w:t>
            </w:r>
          </w:p>
          <w:p w:rsidR="001F30D8" w:rsidRDefault="009130CF">
            <w:r>
              <w:t>Students in Years 10, 11, 12 and 13 will be able to identify their next steps for their chosen career path</w:t>
            </w:r>
          </w:p>
          <w:p w:rsidR="001F30D8" w:rsidRDefault="001F30D8"/>
        </w:tc>
        <w:tc>
          <w:tcPr>
            <w:tcW w:w="2713" w:type="dxa"/>
          </w:tcPr>
          <w:p w:rsidR="001F30D8" w:rsidRDefault="009130CF">
            <w:r>
              <w:t>All</w:t>
            </w:r>
            <w:r>
              <w:t xml:space="preserve"> students in Year 7 can articulate their aspirations.</w:t>
            </w:r>
          </w:p>
          <w:p w:rsidR="001F30D8" w:rsidRDefault="009130CF">
            <w:r>
              <w:t>Students in Years 8, 9, 10, 11, 12 and 13 can identify their chosen career path and how their subjects may support this</w:t>
            </w:r>
          </w:p>
          <w:p w:rsidR="001F30D8" w:rsidRDefault="009130CF">
            <w:r>
              <w:t>Students in Years 8, 9, 10, 11, 12 and 13 will be able to identify their next step</w:t>
            </w:r>
            <w:r>
              <w:t>s for their chosen career path</w:t>
            </w:r>
          </w:p>
          <w:p w:rsidR="001F30D8" w:rsidRDefault="001F30D8"/>
        </w:tc>
      </w:tr>
      <w:tr w:rsidR="001F30D8">
        <w:tc>
          <w:tcPr>
            <w:tcW w:w="1921" w:type="dxa"/>
          </w:tcPr>
          <w:p w:rsidR="001F30D8" w:rsidRDefault="009130CF">
            <w:pPr>
              <w:rPr>
                <w:b/>
              </w:rPr>
            </w:pPr>
            <w:r>
              <w:rPr>
                <w:b/>
              </w:rPr>
              <w:t>Collaborating to ensure a truly holistic education</w:t>
            </w:r>
          </w:p>
          <w:p w:rsidR="001F30D8" w:rsidRDefault="001F30D8">
            <w:pPr>
              <w:rPr>
                <w:b/>
              </w:rPr>
            </w:pPr>
          </w:p>
        </w:tc>
        <w:tc>
          <w:tcPr>
            <w:tcW w:w="1921" w:type="dxa"/>
          </w:tcPr>
          <w:p w:rsidR="001F30D8" w:rsidRDefault="009130CF">
            <w:pPr>
              <w:rPr>
                <w:b/>
              </w:rPr>
            </w:pPr>
            <w:r>
              <w:rPr>
                <w:b/>
              </w:rPr>
              <w:t>BBB</w:t>
            </w:r>
          </w:p>
        </w:tc>
        <w:tc>
          <w:tcPr>
            <w:tcW w:w="2706" w:type="dxa"/>
          </w:tcPr>
          <w:p w:rsidR="001F30D8" w:rsidRDefault="009130CF">
            <w:r>
              <w:t xml:space="preserve">All students have a record of their skills and competencies in their </w:t>
            </w:r>
            <w:proofErr w:type="spellStart"/>
            <w:r>
              <w:t>Unifrog</w:t>
            </w:r>
            <w:proofErr w:type="spellEnd"/>
            <w:r>
              <w:t xml:space="preserve"> Lockers.</w:t>
            </w:r>
          </w:p>
          <w:p w:rsidR="001F30D8" w:rsidRDefault="009130CF">
            <w:r>
              <w:lastRenderedPageBreak/>
              <w:t>Students understand the importance of extracurricular activities in developing th</w:t>
            </w:r>
            <w:r>
              <w:t>ese skills.</w:t>
            </w:r>
          </w:p>
        </w:tc>
        <w:tc>
          <w:tcPr>
            <w:tcW w:w="2712" w:type="dxa"/>
          </w:tcPr>
          <w:p w:rsidR="001F30D8" w:rsidRDefault="009130CF">
            <w:r>
              <w:lastRenderedPageBreak/>
              <w:t xml:space="preserve">60% of students have a record of their competencies and activities on </w:t>
            </w:r>
            <w:proofErr w:type="spellStart"/>
            <w:r>
              <w:t>Unifrog</w:t>
            </w:r>
            <w:proofErr w:type="spellEnd"/>
            <w:r>
              <w:t>.</w:t>
            </w:r>
          </w:p>
          <w:p w:rsidR="001F30D8" w:rsidRDefault="009130CF">
            <w:proofErr w:type="spellStart"/>
            <w:r>
              <w:lastRenderedPageBreak/>
              <w:t>Unifrog</w:t>
            </w:r>
            <w:proofErr w:type="spellEnd"/>
            <w:r>
              <w:t xml:space="preserve"> and Pathways </w:t>
            </w:r>
            <w:proofErr w:type="gramStart"/>
            <w:r>
              <w:t>are promoted</w:t>
            </w:r>
            <w:proofErr w:type="gramEnd"/>
            <w:r>
              <w:t xml:space="preserve"> at all parents' information evenings.</w:t>
            </w:r>
          </w:p>
        </w:tc>
        <w:tc>
          <w:tcPr>
            <w:tcW w:w="2712" w:type="dxa"/>
          </w:tcPr>
          <w:p w:rsidR="001F30D8" w:rsidRDefault="009130CF">
            <w:r>
              <w:lastRenderedPageBreak/>
              <w:t xml:space="preserve">80% students have a record of their competencies and activities and can explain how these will support </w:t>
            </w:r>
            <w:r>
              <w:lastRenderedPageBreak/>
              <w:t xml:space="preserve">their career aspirations on </w:t>
            </w:r>
            <w:proofErr w:type="spellStart"/>
            <w:r>
              <w:t>Unifrog</w:t>
            </w:r>
            <w:proofErr w:type="spellEnd"/>
            <w:r>
              <w:t>.</w:t>
            </w:r>
          </w:p>
          <w:p w:rsidR="001F30D8" w:rsidRDefault="009130CF">
            <w:r>
              <w:t>50% of parents report having spoken and engaged with their child about their career pathway.</w:t>
            </w:r>
          </w:p>
        </w:tc>
        <w:tc>
          <w:tcPr>
            <w:tcW w:w="2713" w:type="dxa"/>
          </w:tcPr>
          <w:p w:rsidR="001F30D8" w:rsidRDefault="009130CF">
            <w:r>
              <w:lastRenderedPageBreak/>
              <w:t>100% students have a re</w:t>
            </w:r>
            <w:r>
              <w:t xml:space="preserve">cord of their competencies and activities and can explain how these </w:t>
            </w:r>
            <w:r>
              <w:lastRenderedPageBreak/>
              <w:t xml:space="preserve">will support their career aspirations on </w:t>
            </w:r>
            <w:proofErr w:type="spellStart"/>
            <w:r>
              <w:t>Unifrog</w:t>
            </w:r>
            <w:proofErr w:type="spellEnd"/>
            <w:r>
              <w:t>.</w:t>
            </w:r>
          </w:p>
          <w:p w:rsidR="001F30D8" w:rsidRDefault="009130CF">
            <w:r>
              <w:t>75% of parents report having spoken to and engaged with their students about their career pathway.</w:t>
            </w:r>
          </w:p>
        </w:tc>
      </w:tr>
    </w:tbl>
    <w:p w:rsidR="001F30D8" w:rsidRDefault="001F30D8"/>
    <w:tbl>
      <w:tblPr>
        <w:tblStyle w:val="a0"/>
        <w:tblW w:w="14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7"/>
        <w:gridCol w:w="1917"/>
        <w:gridCol w:w="2701"/>
        <w:gridCol w:w="2716"/>
        <w:gridCol w:w="2716"/>
        <w:gridCol w:w="2717"/>
      </w:tblGrid>
      <w:tr w:rsidR="001F30D8">
        <w:tc>
          <w:tcPr>
            <w:tcW w:w="1917" w:type="dxa"/>
          </w:tcPr>
          <w:p w:rsidR="001F30D8" w:rsidRDefault="009130CF">
            <w:pPr>
              <w:rPr>
                <w:b/>
              </w:rPr>
            </w:pPr>
            <w:r>
              <w:rPr>
                <w:b/>
              </w:rPr>
              <w:t>A High Performing environment for sta</w:t>
            </w:r>
            <w:r>
              <w:rPr>
                <w:b/>
              </w:rPr>
              <w:t>ff</w:t>
            </w:r>
          </w:p>
        </w:tc>
        <w:tc>
          <w:tcPr>
            <w:tcW w:w="1917" w:type="dxa"/>
          </w:tcPr>
          <w:p w:rsidR="001F30D8" w:rsidRDefault="009130CF">
            <w:pPr>
              <w:rPr>
                <w:b/>
              </w:rPr>
            </w:pPr>
            <w:r>
              <w:rPr>
                <w:b/>
              </w:rPr>
              <w:t>Magenta/MK2050</w:t>
            </w:r>
          </w:p>
        </w:tc>
        <w:tc>
          <w:tcPr>
            <w:tcW w:w="2701" w:type="dxa"/>
          </w:tcPr>
          <w:p w:rsidR="001F30D8" w:rsidRDefault="009130CF">
            <w:r>
              <w:t>All staff are confident to discuss career pathways with students. CPD opportunities are available to staff to increase their pathways knowledge.</w:t>
            </w:r>
          </w:p>
        </w:tc>
        <w:tc>
          <w:tcPr>
            <w:tcW w:w="2716" w:type="dxa"/>
          </w:tcPr>
          <w:p w:rsidR="001F30D8" w:rsidRDefault="009130CF">
            <w:r>
              <w:t xml:space="preserve">All SLT </w:t>
            </w:r>
            <w:proofErr w:type="gramStart"/>
            <w:r>
              <w:t>are trained</w:t>
            </w:r>
            <w:proofErr w:type="gramEnd"/>
            <w:r>
              <w:t xml:space="preserve"> to have careers/pathways conversations.</w:t>
            </w:r>
          </w:p>
        </w:tc>
        <w:tc>
          <w:tcPr>
            <w:tcW w:w="2716" w:type="dxa"/>
          </w:tcPr>
          <w:p w:rsidR="001F30D8" w:rsidRDefault="009130CF">
            <w:r>
              <w:t>All TL’s are trained to have care</w:t>
            </w:r>
            <w:r>
              <w:t>ers/pathways conversations</w:t>
            </w:r>
          </w:p>
        </w:tc>
        <w:tc>
          <w:tcPr>
            <w:tcW w:w="2717" w:type="dxa"/>
          </w:tcPr>
          <w:p w:rsidR="001F30D8" w:rsidRDefault="009130CF">
            <w:r>
              <w:t>All staff are trained to have careers/pathways conversations</w:t>
            </w:r>
          </w:p>
        </w:tc>
      </w:tr>
      <w:tr w:rsidR="001F30D8">
        <w:tc>
          <w:tcPr>
            <w:tcW w:w="1917" w:type="dxa"/>
          </w:tcPr>
          <w:p w:rsidR="001F30D8" w:rsidRDefault="009130CF">
            <w:pPr>
              <w:rPr>
                <w:b/>
              </w:rPr>
            </w:pPr>
            <w:r>
              <w:rPr>
                <w:b/>
              </w:rPr>
              <w:t>Rising Together to the Rigour of Academic Challenge</w:t>
            </w:r>
          </w:p>
        </w:tc>
        <w:tc>
          <w:tcPr>
            <w:tcW w:w="1917" w:type="dxa"/>
          </w:tcPr>
          <w:p w:rsidR="001F30D8" w:rsidRDefault="009130CF">
            <w:pPr>
              <w:rPr>
                <w:b/>
              </w:rPr>
            </w:pPr>
            <w:r>
              <w:rPr>
                <w:b/>
              </w:rPr>
              <w:t>Magenta</w:t>
            </w:r>
          </w:p>
          <w:p w:rsidR="001F30D8" w:rsidRDefault="001F30D8">
            <w:pPr>
              <w:rPr>
                <w:color w:val="FF0000"/>
              </w:rPr>
            </w:pPr>
          </w:p>
        </w:tc>
        <w:tc>
          <w:tcPr>
            <w:tcW w:w="2701" w:type="dxa"/>
          </w:tcPr>
          <w:p w:rsidR="001F30D8" w:rsidRDefault="009130CF">
            <w:r>
              <w:t xml:space="preserve">Students will have both a safe and aspirational career pathway that </w:t>
            </w:r>
            <w:proofErr w:type="gramStart"/>
            <w:r>
              <w:t>is clearly linked</w:t>
            </w:r>
            <w:proofErr w:type="gramEnd"/>
            <w:r>
              <w:t xml:space="preserve"> to their academic progress.</w:t>
            </w:r>
          </w:p>
          <w:p w:rsidR="001F30D8" w:rsidRDefault="009130CF">
            <w:r>
              <w:t>Staff are aware of how academic attainment links with pathway planning and articulate this to students.</w:t>
            </w:r>
          </w:p>
        </w:tc>
        <w:tc>
          <w:tcPr>
            <w:tcW w:w="2716" w:type="dxa"/>
          </w:tcPr>
          <w:p w:rsidR="001F30D8" w:rsidRDefault="009130CF">
            <w:r>
              <w:t>80% students in Year 11, 12 and 13 can</w:t>
            </w:r>
            <w:r>
              <w:t xml:space="preserve"> identify whether their current assessment levels are supporting both their safe and aspirational pathways.</w:t>
            </w:r>
          </w:p>
          <w:p w:rsidR="001F30D8" w:rsidRDefault="001F30D8"/>
        </w:tc>
        <w:tc>
          <w:tcPr>
            <w:tcW w:w="2716" w:type="dxa"/>
          </w:tcPr>
          <w:p w:rsidR="001F30D8" w:rsidRDefault="009130CF">
            <w:r>
              <w:t>95% students in Year KS4 and KS5 can identify whether their current assessment levels are supporting both their safe and aspirational pathways.</w:t>
            </w:r>
          </w:p>
          <w:p w:rsidR="001F30D8" w:rsidRDefault="001F30D8"/>
        </w:tc>
        <w:tc>
          <w:tcPr>
            <w:tcW w:w="2717" w:type="dxa"/>
          </w:tcPr>
          <w:p w:rsidR="001F30D8" w:rsidRDefault="009130CF">
            <w:r>
              <w:t>10</w:t>
            </w:r>
            <w:r>
              <w:t>0% students in Year 10, 11, 12 and 13 can identify whether their current assessment levels are supporting both their safe and aspirational pathways.</w:t>
            </w:r>
          </w:p>
          <w:p w:rsidR="001F30D8" w:rsidRDefault="001F30D8"/>
        </w:tc>
      </w:tr>
      <w:tr w:rsidR="001F30D8">
        <w:tc>
          <w:tcPr>
            <w:tcW w:w="1917" w:type="dxa"/>
          </w:tcPr>
          <w:p w:rsidR="001F30D8" w:rsidRDefault="009130CF">
            <w:pPr>
              <w:rPr>
                <w:b/>
              </w:rPr>
            </w:pPr>
            <w:r>
              <w:rPr>
                <w:b/>
              </w:rPr>
              <w:t>A Supportive Partnership with Parents, Carers and Families</w:t>
            </w:r>
          </w:p>
        </w:tc>
        <w:tc>
          <w:tcPr>
            <w:tcW w:w="1917" w:type="dxa"/>
          </w:tcPr>
          <w:p w:rsidR="001F30D8" w:rsidRDefault="009130CF">
            <w:pPr>
              <w:rPr>
                <w:b/>
              </w:rPr>
            </w:pPr>
            <w:r>
              <w:rPr>
                <w:b/>
              </w:rPr>
              <w:t>BBB</w:t>
            </w:r>
          </w:p>
        </w:tc>
        <w:tc>
          <w:tcPr>
            <w:tcW w:w="2701" w:type="dxa"/>
          </w:tcPr>
          <w:p w:rsidR="001F30D8" w:rsidRDefault="009130CF">
            <w:r>
              <w:t xml:space="preserve">Parents and Careers are aware of the aims </w:t>
            </w:r>
            <w:r>
              <w:t>of the careers programme.</w:t>
            </w:r>
          </w:p>
        </w:tc>
        <w:tc>
          <w:tcPr>
            <w:tcW w:w="2716" w:type="dxa"/>
          </w:tcPr>
          <w:p w:rsidR="001F30D8" w:rsidRDefault="009130CF">
            <w:r>
              <w:t xml:space="preserve">50% of parents and careers are aware of the aims of the careers programme. This feedback </w:t>
            </w:r>
            <w:proofErr w:type="gramStart"/>
            <w:r>
              <w:t>is captured</w:t>
            </w:r>
            <w:proofErr w:type="gramEnd"/>
            <w:r>
              <w:t xml:space="preserve"> through the parental questionnaire.</w:t>
            </w:r>
          </w:p>
          <w:p w:rsidR="001F30D8" w:rsidRDefault="001F30D8"/>
        </w:tc>
        <w:tc>
          <w:tcPr>
            <w:tcW w:w="2716" w:type="dxa"/>
          </w:tcPr>
          <w:p w:rsidR="001F30D8" w:rsidRDefault="009130CF">
            <w:r>
              <w:t xml:space="preserve">75% of parents and careers are aware of the aims of the careers programme. This feedback </w:t>
            </w:r>
            <w:proofErr w:type="gramStart"/>
            <w:r>
              <w:t xml:space="preserve">is </w:t>
            </w:r>
            <w:r>
              <w:t>captured</w:t>
            </w:r>
            <w:proofErr w:type="gramEnd"/>
            <w:r>
              <w:t xml:space="preserve"> through the parental questionnaire.</w:t>
            </w:r>
          </w:p>
          <w:p w:rsidR="001F30D8" w:rsidRDefault="001F30D8"/>
        </w:tc>
        <w:tc>
          <w:tcPr>
            <w:tcW w:w="2717" w:type="dxa"/>
          </w:tcPr>
          <w:p w:rsidR="001F30D8" w:rsidRDefault="009130CF">
            <w:r>
              <w:t xml:space="preserve">100% of parents and careers are aware of the aims of the careers programme. This feedback </w:t>
            </w:r>
            <w:proofErr w:type="gramStart"/>
            <w:r>
              <w:t>is captured</w:t>
            </w:r>
            <w:proofErr w:type="gramEnd"/>
            <w:r>
              <w:t xml:space="preserve"> through the parental questionnaire.</w:t>
            </w:r>
          </w:p>
        </w:tc>
      </w:tr>
      <w:tr w:rsidR="001F30D8">
        <w:tc>
          <w:tcPr>
            <w:tcW w:w="1917" w:type="dxa"/>
          </w:tcPr>
          <w:p w:rsidR="001F30D8" w:rsidRDefault="009130CF">
            <w:pPr>
              <w:rPr>
                <w:b/>
              </w:rPr>
            </w:pPr>
            <w:r>
              <w:rPr>
                <w:b/>
              </w:rPr>
              <w:t>Creating a Meaningful Relationship with our Wider Community</w:t>
            </w:r>
          </w:p>
        </w:tc>
        <w:tc>
          <w:tcPr>
            <w:tcW w:w="1917" w:type="dxa"/>
          </w:tcPr>
          <w:p w:rsidR="001F30D8" w:rsidRDefault="009130CF">
            <w:pPr>
              <w:rPr>
                <w:b/>
              </w:rPr>
            </w:pPr>
            <w:r>
              <w:rPr>
                <w:b/>
              </w:rPr>
              <w:t>MK2050</w:t>
            </w:r>
          </w:p>
        </w:tc>
        <w:tc>
          <w:tcPr>
            <w:tcW w:w="2701" w:type="dxa"/>
          </w:tcPr>
          <w:p w:rsidR="001F30D8" w:rsidRDefault="009130CF">
            <w:r>
              <w:t xml:space="preserve">The school will continue to build links with local employers and education providers, maximising opportunities through both </w:t>
            </w:r>
            <w:r>
              <w:lastRenderedPageBreak/>
              <w:t>the MK2050 project and Connective Learning Projects.</w:t>
            </w:r>
          </w:p>
        </w:tc>
        <w:tc>
          <w:tcPr>
            <w:tcW w:w="2716" w:type="dxa"/>
          </w:tcPr>
          <w:p w:rsidR="001F30D8" w:rsidRDefault="001F30D8"/>
        </w:tc>
        <w:tc>
          <w:tcPr>
            <w:tcW w:w="2716" w:type="dxa"/>
          </w:tcPr>
          <w:p w:rsidR="001F30D8" w:rsidRDefault="001F30D8"/>
        </w:tc>
        <w:tc>
          <w:tcPr>
            <w:tcW w:w="2717" w:type="dxa"/>
          </w:tcPr>
          <w:p w:rsidR="001F30D8" w:rsidRDefault="001F30D8"/>
        </w:tc>
      </w:tr>
    </w:tbl>
    <w:p w:rsidR="001F30D8" w:rsidRDefault="001F30D8">
      <w:pPr>
        <w:rPr>
          <w:b/>
        </w:rPr>
        <w:sectPr w:rsidR="001F30D8">
          <w:pgSz w:w="16838" w:h="11906"/>
          <w:pgMar w:top="1077" w:right="1077" w:bottom="1077" w:left="1077" w:header="709" w:footer="709" w:gutter="0"/>
          <w:pgNumType w:start="1"/>
          <w:cols w:space="720" w:equalWidth="0">
            <w:col w:w="9360"/>
          </w:cols>
        </w:sectPr>
      </w:pPr>
    </w:p>
    <w:p w:rsidR="001F30D8" w:rsidRDefault="009130CF">
      <w:pPr>
        <w:spacing w:after="0"/>
        <w:jc w:val="center"/>
        <w:rPr>
          <w:b/>
          <w:sz w:val="24"/>
          <w:szCs w:val="24"/>
        </w:rPr>
      </w:pPr>
      <w:r>
        <w:rPr>
          <w:b/>
          <w:sz w:val="24"/>
          <w:szCs w:val="24"/>
        </w:rPr>
        <w:t>Year 7 - Belong</w:t>
      </w:r>
    </w:p>
    <w:p w:rsidR="001F30D8" w:rsidRDefault="001F30D8">
      <w:pPr>
        <w:spacing w:after="0"/>
        <w:jc w:val="center"/>
        <w:rPr>
          <w:b/>
          <w:sz w:val="24"/>
          <w:szCs w:val="24"/>
        </w:rPr>
      </w:pPr>
    </w:p>
    <w:tbl>
      <w:tblPr>
        <w:tblStyle w:val="a1"/>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proofErr w:type="spellStart"/>
            <w:r>
              <w:t>Unifrog</w:t>
            </w:r>
            <w:proofErr w:type="spellEnd"/>
            <w:r>
              <w:t xml:space="preserve"> Registration - </w:t>
            </w:r>
            <w:proofErr w:type="spellStart"/>
            <w:r>
              <w:t>Lifeskills</w:t>
            </w:r>
            <w:proofErr w:type="spellEnd"/>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highlight w:val="yellow"/>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 xml:space="preserve">Careers in Engineering Assemblies - </w:t>
            </w:r>
            <w:proofErr w:type="spellStart"/>
            <w:r>
              <w:t>Niftylift</w:t>
            </w:r>
            <w:proofErr w:type="spellEnd"/>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9BBB59"/>
          </w:tcPr>
          <w:p w:rsidR="001F30D8" w:rsidRDefault="001F30D8">
            <w:pPr>
              <w:rPr>
                <w:b/>
              </w:rPr>
            </w:pPr>
          </w:p>
        </w:tc>
        <w:tc>
          <w:tcPr>
            <w:tcW w:w="876" w:type="dxa"/>
            <w:shd w:val="clear" w:color="auto" w:fill="FFFFFF"/>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980000"/>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 - MK2050/CLPs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 xml:space="preserve">Learning to identify strengths and weaknesses - SMART/Brain Station -  </w:t>
            </w:r>
            <w:proofErr w:type="spellStart"/>
            <w:r>
              <w:t>Lifeskills</w:t>
            </w:r>
            <w:proofErr w:type="spellEnd"/>
          </w:p>
        </w:tc>
        <w:tc>
          <w:tcPr>
            <w:tcW w:w="3690" w:type="dxa"/>
          </w:tcPr>
          <w:p w:rsidR="001F30D8" w:rsidRDefault="009130CF">
            <w:r>
              <w:t>Lesson Plans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3C47D"/>
          </w:tcPr>
          <w:p w:rsidR="001F30D8" w:rsidRDefault="001F30D8">
            <w:pPr>
              <w:rPr>
                <w:b/>
              </w:rPr>
            </w:pPr>
          </w:p>
        </w:tc>
      </w:tr>
    </w:tbl>
    <w:p w:rsidR="001F30D8" w:rsidRDefault="001F30D8">
      <w:pPr>
        <w:rPr>
          <w:b/>
        </w:rPr>
      </w:pPr>
    </w:p>
    <w:p w:rsidR="001F30D8" w:rsidRDefault="009130CF">
      <w:pPr>
        <w:jc w:val="center"/>
        <w:rPr>
          <w:b/>
          <w:sz w:val="24"/>
          <w:szCs w:val="24"/>
        </w:rPr>
      </w:pPr>
      <w:r>
        <w:rPr>
          <w:b/>
          <w:sz w:val="24"/>
          <w:szCs w:val="24"/>
        </w:rPr>
        <w:t>Year 8 - Belong</w:t>
      </w:r>
    </w:p>
    <w:tbl>
      <w:tblPr>
        <w:tblStyle w:val="a2"/>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proofErr w:type="spellStart"/>
            <w:r>
              <w:t>Worktree</w:t>
            </w:r>
            <w:proofErr w:type="spellEnd"/>
            <w:r>
              <w:t xml:space="preserve"> Speed Interviewing</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9BBB59"/>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C0504D"/>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GCSE options fair</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highlight w:val="yellow"/>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FFFFFF"/>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 - MK2050/CLPs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 xml:space="preserve">Use the </w:t>
            </w:r>
            <w:proofErr w:type="spellStart"/>
            <w:r>
              <w:t>Unifrog</w:t>
            </w:r>
            <w:proofErr w:type="spellEnd"/>
            <w:r>
              <w:t xml:space="preserve"> Careers and Subjects library to explore GCSE option choices and pathways -</w:t>
            </w:r>
            <w:proofErr w:type="spellStart"/>
            <w:r>
              <w:t>Lifeskills</w:t>
            </w:r>
            <w:proofErr w:type="spellEnd"/>
            <w:r>
              <w:t>/Form Time</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bl>
    <w:p w:rsidR="001F30D8" w:rsidRDefault="001F30D8">
      <w:pPr>
        <w:spacing w:after="0"/>
        <w:rPr>
          <w:b/>
        </w:rPr>
      </w:pPr>
    </w:p>
    <w:p w:rsidR="001F30D8" w:rsidRDefault="009130CF">
      <w:pPr>
        <w:rPr>
          <w:b/>
          <w:sz w:val="24"/>
          <w:szCs w:val="24"/>
        </w:rPr>
      </w:pPr>
      <w:r>
        <w:br w:type="page"/>
      </w:r>
    </w:p>
    <w:p w:rsidR="001F30D8" w:rsidRDefault="009130CF">
      <w:pPr>
        <w:spacing w:after="0"/>
        <w:jc w:val="center"/>
        <w:rPr>
          <w:b/>
          <w:sz w:val="24"/>
          <w:szCs w:val="24"/>
        </w:rPr>
      </w:pPr>
      <w:r>
        <w:rPr>
          <w:b/>
          <w:sz w:val="24"/>
          <w:szCs w:val="24"/>
        </w:rPr>
        <w:t>Year 9 - Believe</w:t>
      </w:r>
    </w:p>
    <w:p w:rsidR="001F30D8" w:rsidRDefault="001F30D8">
      <w:pPr>
        <w:spacing w:after="0"/>
        <w:jc w:val="center"/>
        <w:rPr>
          <w:b/>
          <w:sz w:val="24"/>
          <w:szCs w:val="24"/>
        </w:rPr>
      </w:pPr>
    </w:p>
    <w:tbl>
      <w:tblPr>
        <w:tblStyle w:val="a3"/>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r>
              <w:t>Network Rail - STEM event</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9BBB59"/>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C0504D"/>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roofErr w:type="spellStart"/>
            <w:r>
              <w:t>Niftylift</w:t>
            </w:r>
            <w:proofErr w:type="spellEnd"/>
            <w:r>
              <w:t xml:space="preserve"> Women in Engineering</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93C47D"/>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 MK2050/CLPs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 xml:space="preserve">Use the </w:t>
            </w:r>
            <w:proofErr w:type="spellStart"/>
            <w:r>
              <w:t>Unifrog</w:t>
            </w:r>
            <w:proofErr w:type="spellEnd"/>
            <w:r>
              <w:t xml:space="preserve"> Careers and Subjects library to explore pathways - </w:t>
            </w:r>
            <w:proofErr w:type="spellStart"/>
            <w:r>
              <w:t>Lifeskills</w:t>
            </w:r>
            <w:proofErr w:type="spellEnd"/>
            <w:r>
              <w:t>/Form Time</w:t>
            </w:r>
          </w:p>
        </w:tc>
        <w:tc>
          <w:tcPr>
            <w:tcW w:w="3690" w:type="dxa"/>
          </w:tcPr>
          <w:p w:rsidR="001F30D8" w:rsidRDefault="009130CF">
            <w:r>
              <w:t xml:space="preserve">Student’s </w:t>
            </w:r>
            <w:proofErr w:type="spellStart"/>
            <w:r>
              <w:t>Uniforg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bl>
    <w:p w:rsidR="001F30D8" w:rsidRDefault="001F30D8">
      <w:pPr>
        <w:spacing w:after="0"/>
        <w:rPr>
          <w:b/>
        </w:rPr>
      </w:pPr>
    </w:p>
    <w:p w:rsidR="001F30D8" w:rsidRDefault="009130CF">
      <w:pPr>
        <w:spacing w:after="0"/>
        <w:jc w:val="center"/>
        <w:rPr>
          <w:b/>
          <w:sz w:val="24"/>
          <w:szCs w:val="24"/>
        </w:rPr>
      </w:pPr>
      <w:r>
        <w:rPr>
          <w:b/>
          <w:sz w:val="24"/>
          <w:szCs w:val="24"/>
        </w:rPr>
        <w:t>Year 10 - Believe</w:t>
      </w:r>
    </w:p>
    <w:tbl>
      <w:tblPr>
        <w:tblStyle w:val="a4"/>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r>
              <w:t>EOW - English application letter writing competition</w:t>
            </w:r>
          </w:p>
          <w:p w:rsidR="001F30D8" w:rsidRDefault="001F30D8"/>
        </w:tc>
        <w:tc>
          <w:tcPr>
            <w:tcW w:w="3690" w:type="dxa"/>
          </w:tcPr>
          <w:p w:rsidR="001F30D8" w:rsidRDefault="009130CF">
            <w:r>
              <w:t>Student’s work</w:t>
            </w:r>
          </w:p>
        </w:tc>
        <w:tc>
          <w:tcPr>
            <w:tcW w:w="810" w:type="dxa"/>
            <w:shd w:val="clear" w:color="auto" w:fill="1F497D"/>
          </w:tcPr>
          <w:p w:rsidR="001F30D8" w:rsidRDefault="001F30D8">
            <w:pPr>
              <w:rPr>
                <w:b/>
                <w:highlight w:val="yellow"/>
              </w:rPr>
            </w:pPr>
          </w:p>
        </w:tc>
        <w:tc>
          <w:tcPr>
            <w:tcW w:w="810" w:type="dxa"/>
          </w:tcPr>
          <w:p w:rsidR="001F30D8" w:rsidRDefault="001F30D8"/>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 xml:space="preserve">CV Building and Interview Techniques - </w:t>
            </w:r>
            <w:proofErr w:type="spellStart"/>
            <w:r>
              <w:t>Lifeskills</w:t>
            </w:r>
            <w:proofErr w:type="spellEnd"/>
          </w:p>
        </w:tc>
        <w:tc>
          <w:tcPr>
            <w:tcW w:w="3690" w:type="dxa"/>
          </w:tcPr>
          <w:p w:rsidR="001F30D8" w:rsidRDefault="001F30D8"/>
        </w:tc>
        <w:tc>
          <w:tcPr>
            <w:tcW w:w="810" w:type="dxa"/>
            <w:shd w:val="clear" w:color="auto" w:fill="1F497D"/>
          </w:tcPr>
          <w:p w:rsidR="001F30D8" w:rsidRDefault="001F30D8">
            <w:pPr>
              <w:rPr>
                <w:b/>
                <w:highlight w:val="yellow"/>
              </w:rPr>
            </w:pPr>
          </w:p>
        </w:tc>
        <w:tc>
          <w:tcPr>
            <w:tcW w:w="810" w:type="dxa"/>
          </w:tcPr>
          <w:p w:rsidR="001F30D8" w:rsidRDefault="001F30D8">
            <w:pPr>
              <w:rPr>
                <w:b/>
                <w:highlight w:val="white"/>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NHS Careers event</w:t>
            </w:r>
          </w:p>
        </w:tc>
        <w:tc>
          <w:tcPr>
            <w:tcW w:w="3690" w:type="dxa"/>
          </w:tcPr>
          <w:p w:rsidR="001F30D8" w:rsidRDefault="009130CF">
            <w:r>
              <w:t>Student feedback questionnaires</w:t>
            </w:r>
          </w:p>
          <w:p w:rsidR="001F30D8" w:rsidRDefault="001F30D8"/>
        </w:tc>
        <w:tc>
          <w:tcPr>
            <w:tcW w:w="810" w:type="dxa"/>
            <w:shd w:val="clear" w:color="auto" w:fill="1F497D"/>
          </w:tcPr>
          <w:p w:rsidR="001F30D8" w:rsidRDefault="001F30D8">
            <w:pPr>
              <w:rPr>
                <w:b/>
                <w:highlight w:val="yellow"/>
              </w:rPr>
            </w:pPr>
          </w:p>
        </w:tc>
        <w:tc>
          <w:tcPr>
            <w:tcW w:w="810" w:type="dxa"/>
            <w:shd w:val="clear" w:color="auto" w:fill="93C47D"/>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EOW preparation activities - form time</w:t>
            </w:r>
          </w:p>
        </w:tc>
        <w:tc>
          <w:tcPr>
            <w:tcW w:w="3690" w:type="dxa"/>
          </w:tcPr>
          <w:p w:rsidR="001F30D8" w:rsidRDefault="009130CF">
            <w:r>
              <w:t>Lesson Plans</w:t>
            </w:r>
          </w:p>
          <w:p w:rsidR="001F30D8" w:rsidRDefault="001F30D8"/>
        </w:tc>
        <w:tc>
          <w:tcPr>
            <w:tcW w:w="810" w:type="dxa"/>
            <w:shd w:val="clear" w:color="auto" w:fill="1F497D"/>
          </w:tcPr>
          <w:p w:rsidR="001F30D8" w:rsidRDefault="001F30D8">
            <w:pPr>
              <w:rPr>
                <w:b/>
              </w:rPr>
            </w:pPr>
          </w:p>
        </w:tc>
        <w:tc>
          <w:tcPr>
            <w:tcW w:w="810" w:type="dxa"/>
            <w:shd w:val="clear" w:color="auto" w:fill="93C47D"/>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2 week EOW</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shd w:val="clear" w:color="auto" w:fill="85200C"/>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r w:rsidR="001F30D8">
        <w:tc>
          <w:tcPr>
            <w:tcW w:w="4815" w:type="dxa"/>
          </w:tcPr>
          <w:p w:rsidR="001F30D8" w:rsidRDefault="009130CF">
            <w:pPr>
              <w:spacing w:after="200" w:line="276" w:lineRule="auto"/>
            </w:pPr>
            <w:r>
              <w:t>Pro Active Speed Interviewing event</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shd w:val="clear" w:color="auto" w:fill="FFFFFF"/>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HE/FE visits</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shd w:val="clear" w:color="auto" w:fill="CC0000"/>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Apprenticeship Fair - Stadium MK</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shd w:val="clear" w:color="auto" w:fill="C00000"/>
          </w:tcPr>
          <w:p w:rsidR="001F30D8" w:rsidRDefault="001F30D8">
            <w:pPr>
              <w:rPr>
                <w:b/>
              </w:rPr>
            </w:pPr>
          </w:p>
        </w:tc>
        <w:tc>
          <w:tcPr>
            <w:tcW w:w="827" w:type="dxa"/>
            <w:shd w:val="clear" w:color="auto" w:fill="FFFFFF"/>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 - MK2050/CLPs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674EA7"/>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shd w:val="clear" w:color="auto" w:fill="FFFFFF"/>
          </w:tcPr>
          <w:p w:rsidR="001F30D8" w:rsidRDefault="001F30D8">
            <w:pPr>
              <w:rPr>
                <w:b/>
              </w:rPr>
            </w:pPr>
          </w:p>
        </w:tc>
        <w:tc>
          <w:tcPr>
            <w:tcW w:w="797" w:type="dxa"/>
          </w:tcPr>
          <w:p w:rsidR="001F30D8" w:rsidRDefault="001F30D8">
            <w:pPr>
              <w:rPr>
                <w:b/>
              </w:rPr>
            </w:pPr>
          </w:p>
        </w:tc>
      </w:tr>
    </w:tbl>
    <w:p w:rsidR="001F30D8" w:rsidRDefault="001F30D8">
      <w:pPr>
        <w:spacing w:after="0"/>
      </w:pPr>
    </w:p>
    <w:p w:rsidR="001F30D8" w:rsidRDefault="009130CF">
      <w:pPr>
        <w:spacing w:after="0"/>
        <w:jc w:val="center"/>
        <w:rPr>
          <w:b/>
          <w:sz w:val="24"/>
          <w:szCs w:val="24"/>
        </w:rPr>
      </w:pPr>
      <w:r>
        <w:rPr>
          <w:b/>
          <w:sz w:val="24"/>
          <w:szCs w:val="24"/>
        </w:rPr>
        <w:t>Year 11 - Become</w:t>
      </w:r>
    </w:p>
    <w:p w:rsidR="001F30D8" w:rsidRDefault="001F30D8">
      <w:pPr>
        <w:spacing w:after="0"/>
        <w:jc w:val="center"/>
        <w:rPr>
          <w:b/>
          <w:sz w:val="24"/>
          <w:szCs w:val="24"/>
        </w:rPr>
      </w:pPr>
    </w:p>
    <w:tbl>
      <w:tblPr>
        <w:tblStyle w:val="a5"/>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r>
              <w:t>MK College Yellow Bus event</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shd w:val="clear" w:color="auto" w:fill="CC0000"/>
          </w:tcPr>
          <w:p w:rsidR="001F30D8" w:rsidRDefault="001F30D8">
            <w:pPr>
              <w:rPr>
                <w:b/>
              </w:rPr>
            </w:pPr>
          </w:p>
        </w:tc>
        <w:tc>
          <w:tcPr>
            <w:tcW w:w="797" w:type="dxa"/>
            <w:shd w:val="clear" w:color="auto" w:fill="6AA84F"/>
          </w:tcPr>
          <w:p w:rsidR="001F30D8" w:rsidRDefault="001F30D8">
            <w:pPr>
              <w:rPr>
                <w:b/>
              </w:rPr>
            </w:pPr>
          </w:p>
        </w:tc>
      </w:tr>
      <w:tr w:rsidR="001F30D8">
        <w:tc>
          <w:tcPr>
            <w:tcW w:w="4815" w:type="dxa"/>
          </w:tcPr>
          <w:p w:rsidR="001F30D8" w:rsidRDefault="009130CF">
            <w:r>
              <w:t>Moulton College Assembly</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shd w:val="clear" w:color="auto" w:fill="FFFFFF"/>
          </w:tcPr>
          <w:p w:rsidR="001F30D8" w:rsidRDefault="001F30D8">
            <w:pPr>
              <w:rPr>
                <w:b/>
              </w:rPr>
            </w:pPr>
          </w:p>
        </w:tc>
        <w:tc>
          <w:tcPr>
            <w:tcW w:w="722" w:type="dxa"/>
          </w:tcPr>
          <w:p w:rsidR="001F30D8" w:rsidRDefault="001F30D8">
            <w:pPr>
              <w:rPr>
                <w:b/>
              </w:rPr>
            </w:pPr>
          </w:p>
        </w:tc>
        <w:tc>
          <w:tcPr>
            <w:tcW w:w="827" w:type="dxa"/>
            <w:shd w:val="clear" w:color="auto" w:fill="CC0000"/>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 MK2050/CLPs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 xml:space="preserve">Use the </w:t>
            </w:r>
            <w:proofErr w:type="spellStart"/>
            <w:r>
              <w:t>Unifrog</w:t>
            </w:r>
            <w:proofErr w:type="spellEnd"/>
            <w:r>
              <w:t xml:space="preserve"> Careers and Subjects library to explore pathways </w:t>
            </w:r>
            <w:proofErr w:type="spellStart"/>
            <w:r>
              <w:t>Lifeskills</w:t>
            </w:r>
            <w:proofErr w:type="spellEnd"/>
            <w:r>
              <w:t>/Form Time</w:t>
            </w:r>
          </w:p>
        </w:tc>
        <w:tc>
          <w:tcPr>
            <w:tcW w:w="3690" w:type="dxa"/>
          </w:tcPr>
          <w:p w:rsidR="001F30D8" w:rsidRDefault="009130CF">
            <w:r>
              <w:t xml:space="preserve">Student’s </w:t>
            </w:r>
            <w:proofErr w:type="spellStart"/>
            <w:r>
              <w:t>Uniforg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r w:rsidR="001F30D8">
        <w:tc>
          <w:tcPr>
            <w:tcW w:w="4815" w:type="dxa"/>
          </w:tcPr>
          <w:p w:rsidR="001F30D8" w:rsidRDefault="009130CF">
            <w:pPr>
              <w:spacing w:line="276" w:lineRule="auto"/>
            </w:pPr>
            <w:r>
              <w:t xml:space="preserve">Students have 1:1 meeting with the school’s Careers Advisor </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shd w:val="clear" w:color="auto" w:fill="FFFFFF"/>
          </w:tcPr>
          <w:p w:rsidR="001F30D8" w:rsidRDefault="001F30D8">
            <w:pPr>
              <w:rPr>
                <w:b/>
              </w:rPr>
            </w:pPr>
          </w:p>
        </w:tc>
        <w:tc>
          <w:tcPr>
            <w:tcW w:w="827" w:type="dxa"/>
            <w:shd w:val="clear" w:color="auto" w:fill="FFFFFF"/>
          </w:tcPr>
          <w:p w:rsidR="001F30D8" w:rsidRDefault="001F30D8">
            <w:pPr>
              <w:rPr>
                <w:b/>
              </w:rPr>
            </w:pPr>
          </w:p>
        </w:tc>
        <w:tc>
          <w:tcPr>
            <w:tcW w:w="797" w:type="dxa"/>
            <w:shd w:val="clear" w:color="auto" w:fill="9BBB59"/>
          </w:tcPr>
          <w:p w:rsidR="001F30D8" w:rsidRDefault="001F30D8">
            <w:pPr>
              <w:rPr>
                <w:b/>
              </w:rPr>
            </w:pPr>
          </w:p>
        </w:tc>
      </w:tr>
    </w:tbl>
    <w:p w:rsidR="001F30D8" w:rsidRDefault="001F30D8">
      <w:pPr>
        <w:spacing w:after="0"/>
      </w:pPr>
    </w:p>
    <w:p w:rsidR="001F30D8" w:rsidRDefault="009130CF">
      <w:pPr>
        <w:spacing w:after="0"/>
        <w:jc w:val="center"/>
        <w:rPr>
          <w:b/>
          <w:sz w:val="24"/>
          <w:szCs w:val="24"/>
        </w:rPr>
      </w:pPr>
      <w:r>
        <w:rPr>
          <w:b/>
          <w:sz w:val="24"/>
          <w:szCs w:val="24"/>
        </w:rPr>
        <w:t>Year 12 - Become</w:t>
      </w:r>
    </w:p>
    <w:p w:rsidR="001F30D8" w:rsidRDefault="001F30D8">
      <w:pPr>
        <w:spacing w:after="0"/>
        <w:rPr>
          <w:b/>
          <w:sz w:val="24"/>
          <w:szCs w:val="24"/>
        </w:rPr>
      </w:pPr>
    </w:p>
    <w:tbl>
      <w:tblPr>
        <w:tblStyle w:val="a6"/>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r>
              <w:t>SEMLEP networking events</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shd w:val="clear" w:color="auto" w:fill="C0504D"/>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UCAS/Apprenticeship Fair</w:t>
            </w:r>
          </w:p>
        </w:tc>
        <w:tc>
          <w:tcPr>
            <w:tcW w:w="3690" w:type="dxa"/>
          </w:tcPr>
          <w:p w:rsidR="001F30D8" w:rsidRDefault="009130CF">
            <w:r>
              <w:t>Student feedback questionnaires</w:t>
            </w:r>
          </w:p>
        </w:tc>
        <w:tc>
          <w:tcPr>
            <w:tcW w:w="810" w:type="dxa"/>
            <w:shd w:val="clear" w:color="auto" w:fill="1F497D"/>
          </w:tcPr>
          <w:p w:rsidR="001F30D8" w:rsidRDefault="001F30D8">
            <w:pPr>
              <w:rPr>
                <w:b/>
                <w:highlight w:val="yellow"/>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shd w:val="clear" w:color="auto" w:fill="85200C"/>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Curriculum lessons linking careers to pathways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Student’s will undertake 1 day work shadowing</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shd w:val="clear" w:color="auto" w:fill="C00000"/>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Personal Statement writing workshops</w:t>
            </w:r>
          </w:p>
        </w:tc>
        <w:tc>
          <w:tcPr>
            <w:tcW w:w="3690" w:type="dxa"/>
          </w:tcPr>
          <w:p w:rsidR="001F30D8" w:rsidRDefault="009130CF">
            <w:r>
              <w:t xml:space="preserve">Student’s </w:t>
            </w:r>
            <w:proofErr w:type="spellStart"/>
            <w:r>
              <w:t>Unifrog</w:t>
            </w:r>
            <w:proofErr w:type="spellEnd"/>
            <w:r>
              <w:t xml:space="preserve"> accounts</w:t>
            </w:r>
          </w:p>
          <w:p w:rsidR="001F30D8" w:rsidRDefault="001F30D8"/>
          <w:p w:rsidR="001F30D8" w:rsidRDefault="001F30D8"/>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line="276" w:lineRule="auto"/>
            </w:pPr>
            <w:r>
              <w:t>Apprenticeship Support Group</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6AA84F"/>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shd w:val="clear" w:color="auto" w:fill="FF0000"/>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r w:rsidR="001F30D8">
        <w:tc>
          <w:tcPr>
            <w:tcW w:w="4815" w:type="dxa"/>
          </w:tcPr>
          <w:p w:rsidR="001F30D8" w:rsidRDefault="009130CF">
            <w:pPr>
              <w:spacing w:line="276" w:lineRule="auto"/>
            </w:pPr>
            <w:r>
              <w:t>Pro Active Business Breakfast</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shd w:val="clear" w:color="auto" w:fill="93C47D"/>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shd w:val="clear" w:color="auto" w:fill="A61C00"/>
          </w:tcPr>
          <w:p w:rsidR="001F30D8" w:rsidRDefault="001F30D8">
            <w:pPr>
              <w:rPr>
                <w:b/>
              </w:rPr>
            </w:pPr>
          </w:p>
        </w:tc>
        <w:tc>
          <w:tcPr>
            <w:tcW w:w="722" w:type="dxa"/>
            <w:shd w:val="clear" w:color="auto" w:fill="FFFFFF"/>
          </w:tcPr>
          <w:p w:rsidR="001F30D8" w:rsidRDefault="001F30D8">
            <w:pPr>
              <w:rPr>
                <w:b/>
              </w:rPr>
            </w:pPr>
          </w:p>
        </w:tc>
        <w:tc>
          <w:tcPr>
            <w:tcW w:w="827" w:type="dxa"/>
            <w:shd w:val="clear" w:color="auto" w:fill="FFFFFF"/>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line="276" w:lineRule="auto"/>
            </w:pPr>
            <w:r>
              <w:t xml:space="preserve">Students have 1:1 meeting with the school’s Careers Advisor </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shd w:val="clear" w:color="auto" w:fill="FFFFFF"/>
          </w:tcPr>
          <w:p w:rsidR="001F30D8" w:rsidRDefault="001F30D8">
            <w:pPr>
              <w:rPr>
                <w:b/>
              </w:rPr>
            </w:pPr>
          </w:p>
        </w:tc>
        <w:tc>
          <w:tcPr>
            <w:tcW w:w="827" w:type="dxa"/>
            <w:shd w:val="clear" w:color="auto" w:fill="FFFFFF"/>
          </w:tcPr>
          <w:p w:rsidR="001F30D8" w:rsidRDefault="001F30D8">
            <w:pPr>
              <w:rPr>
                <w:b/>
              </w:rPr>
            </w:pPr>
          </w:p>
        </w:tc>
        <w:tc>
          <w:tcPr>
            <w:tcW w:w="797" w:type="dxa"/>
            <w:shd w:val="clear" w:color="auto" w:fill="9BBB59"/>
          </w:tcPr>
          <w:p w:rsidR="001F30D8" w:rsidRDefault="001F30D8">
            <w:pPr>
              <w:rPr>
                <w:b/>
              </w:rPr>
            </w:pPr>
          </w:p>
        </w:tc>
      </w:tr>
    </w:tbl>
    <w:p w:rsidR="001F30D8" w:rsidRDefault="001F30D8">
      <w:pPr>
        <w:spacing w:after="0"/>
        <w:rPr>
          <w:b/>
          <w:sz w:val="24"/>
          <w:szCs w:val="24"/>
        </w:rPr>
      </w:pPr>
    </w:p>
    <w:p w:rsidR="001F30D8" w:rsidRDefault="009130CF">
      <w:pPr>
        <w:spacing w:after="0"/>
        <w:jc w:val="center"/>
        <w:rPr>
          <w:b/>
          <w:sz w:val="24"/>
          <w:szCs w:val="24"/>
        </w:rPr>
      </w:pPr>
      <w:r>
        <w:rPr>
          <w:b/>
          <w:sz w:val="24"/>
          <w:szCs w:val="24"/>
        </w:rPr>
        <w:t>Year 13 - Become</w:t>
      </w:r>
    </w:p>
    <w:p w:rsidR="001F30D8" w:rsidRDefault="001F30D8">
      <w:pPr>
        <w:spacing w:after="0"/>
        <w:jc w:val="center"/>
        <w:rPr>
          <w:b/>
          <w:sz w:val="24"/>
          <w:szCs w:val="24"/>
        </w:rPr>
      </w:pPr>
    </w:p>
    <w:tbl>
      <w:tblPr>
        <w:tblStyle w:val="a7"/>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15"/>
        <w:gridCol w:w="3690"/>
        <w:gridCol w:w="810"/>
        <w:gridCol w:w="810"/>
        <w:gridCol w:w="876"/>
        <w:gridCol w:w="797"/>
        <w:gridCol w:w="662"/>
        <w:gridCol w:w="722"/>
        <w:gridCol w:w="827"/>
        <w:gridCol w:w="797"/>
      </w:tblGrid>
      <w:tr w:rsidR="001F30D8">
        <w:tc>
          <w:tcPr>
            <w:tcW w:w="4815" w:type="dxa"/>
          </w:tcPr>
          <w:p w:rsidR="001F30D8" w:rsidRDefault="009130CF">
            <w:pPr>
              <w:rPr>
                <w:b/>
              </w:rPr>
            </w:pPr>
            <w:r>
              <w:rPr>
                <w:b/>
              </w:rPr>
              <w:t>Activity</w:t>
            </w:r>
          </w:p>
        </w:tc>
        <w:tc>
          <w:tcPr>
            <w:tcW w:w="3690" w:type="dxa"/>
          </w:tcPr>
          <w:p w:rsidR="001F30D8" w:rsidRDefault="009130CF">
            <w:pPr>
              <w:rPr>
                <w:b/>
              </w:rPr>
            </w:pPr>
            <w:r>
              <w:rPr>
                <w:b/>
              </w:rPr>
              <w:t>Evidence</w:t>
            </w:r>
          </w:p>
        </w:tc>
        <w:tc>
          <w:tcPr>
            <w:tcW w:w="810" w:type="dxa"/>
          </w:tcPr>
          <w:p w:rsidR="001F30D8" w:rsidRDefault="009130CF">
            <w:pPr>
              <w:rPr>
                <w:b/>
              </w:rPr>
            </w:pPr>
            <w:r>
              <w:rPr>
                <w:b/>
              </w:rPr>
              <w:t>B1</w:t>
            </w:r>
          </w:p>
        </w:tc>
        <w:tc>
          <w:tcPr>
            <w:tcW w:w="810" w:type="dxa"/>
          </w:tcPr>
          <w:p w:rsidR="001F30D8" w:rsidRDefault="009130CF">
            <w:pPr>
              <w:rPr>
                <w:b/>
              </w:rPr>
            </w:pPr>
            <w:r>
              <w:rPr>
                <w:b/>
              </w:rPr>
              <w:t>B2</w:t>
            </w:r>
          </w:p>
        </w:tc>
        <w:tc>
          <w:tcPr>
            <w:tcW w:w="876" w:type="dxa"/>
          </w:tcPr>
          <w:p w:rsidR="001F30D8" w:rsidRDefault="009130CF">
            <w:pPr>
              <w:rPr>
                <w:b/>
              </w:rPr>
            </w:pPr>
            <w:r>
              <w:rPr>
                <w:b/>
              </w:rPr>
              <w:t>B3</w:t>
            </w:r>
          </w:p>
        </w:tc>
        <w:tc>
          <w:tcPr>
            <w:tcW w:w="797" w:type="dxa"/>
          </w:tcPr>
          <w:p w:rsidR="001F30D8" w:rsidRDefault="009130CF">
            <w:pPr>
              <w:rPr>
                <w:b/>
              </w:rPr>
            </w:pPr>
            <w:r>
              <w:rPr>
                <w:b/>
              </w:rPr>
              <w:t>B4</w:t>
            </w:r>
          </w:p>
        </w:tc>
        <w:tc>
          <w:tcPr>
            <w:tcW w:w="662" w:type="dxa"/>
          </w:tcPr>
          <w:p w:rsidR="001F30D8" w:rsidRDefault="009130CF">
            <w:pPr>
              <w:rPr>
                <w:b/>
              </w:rPr>
            </w:pPr>
            <w:r>
              <w:rPr>
                <w:b/>
              </w:rPr>
              <w:t>B5</w:t>
            </w:r>
          </w:p>
        </w:tc>
        <w:tc>
          <w:tcPr>
            <w:tcW w:w="722" w:type="dxa"/>
          </w:tcPr>
          <w:p w:rsidR="001F30D8" w:rsidRDefault="009130CF">
            <w:pPr>
              <w:spacing w:after="200" w:line="276" w:lineRule="auto"/>
              <w:rPr>
                <w:b/>
              </w:rPr>
            </w:pPr>
            <w:r>
              <w:rPr>
                <w:b/>
              </w:rPr>
              <w:t>B6</w:t>
            </w:r>
          </w:p>
        </w:tc>
        <w:tc>
          <w:tcPr>
            <w:tcW w:w="827" w:type="dxa"/>
          </w:tcPr>
          <w:p w:rsidR="001F30D8" w:rsidRDefault="009130CF">
            <w:pPr>
              <w:rPr>
                <w:b/>
              </w:rPr>
            </w:pPr>
            <w:r>
              <w:rPr>
                <w:b/>
              </w:rPr>
              <w:t>B7</w:t>
            </w:r>
          </w:p>
        </w:tc>
        <w:tc>
          <w:tcPr>
            <w:tcW w:w="797" w:type="dxa"/>
          </w:tcPr>
          <w:p w:rsidR="001F30D8" w:rsidRDefault="009130CF">
            <w:pPr>
              <w:rPr>
                <w:b/>
              </w:rPr>
            </w:pPr>
            <w:r>
              <w:rPr>
                <w:b/>
              </w:rPr>
              <w:t>B8</w:t>
            </w:r>
          </w:p>
        </w:tc>
      </w:tr>
      <w:tr w:rsidR="001F30D8">
        <w:tc>
          <w:tcPr>
            <w:tcW w:w="4815" w:type="dxa"/>
          </w:tcPr>
          <w:p w:rsidR="001F30D8" w:rsidRDefault="009130CF">
            <w:r>
              <w:t>Curriculum lessons linking careers to pathways</w:t>
            </w:r>
          </w:p>
        </w:tc>
        <w:tc>
          <w:tcPr>
            <w:tcW w:w="3690" w:type="dxa"/>
          </w:tcPr>
          <w:p w:rsidR="001F30D8" w:rsidRDefault="009130CF">
            <w:r>
              <w:t>Curriculum maps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SEMLEP networking events</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shd w:val="clear" w:color="auto" w:fill="93C47D"/>
          </w:tcPr>
          <w:p w:rsidR="001F30D8" w:rsidRDefault="001F30D8">
            <w:pPr>
              <w:rPr>
                <w:b/>
              </w:rPr>
            </w:pPr>
          </w:p>
        </w:tc>
        <w:tc>
          <w:tcPr>
            <w:tcW w:w="876" w:type="dxa"/>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Student’s will undertake 1-day work shadowing</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shd w:val="clear" w:color="auto" w:fill="A61C00"/>
          </w:tcPr>
          <w:p w:rsidR="001F30D8" w:rsidRDefault="001F30D8">
            <w:pPr>
              <w:rPr>
                <w:b/>
              </w:rPr>
            </w:pPr>
          </w:p>
        </w:tc>
        <w:tc>
          <w:tcPr>
            <w:tcW w:w="722" w:type="dxa"/>
            <w:shd w:val="clear" w:color="auto" w:fill="C00000"/>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Apprenticeship Support Group</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9BBB59"/>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pPr>
              <w:spacing w:after="200" w:line="276" w:lineRule="auto"/>
            </w:pPr>
            <w:r>
              <w:t>UCAS/Apprenticeship Fair</w:t>
            </w:r>
          </w:p>
        </w:tc>
        <w:tc>
          <w:tcPr>
            <w:tcW w:w="3690" w:type="dxa"/>
          </w:tcPr>
          <w:p w:rsidR="001F30D8" w:rsidRDefault="009130CF">
            <w:r>
              <w:t>Student feedback questionnaires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8064A2"/>
          </w:tcPr>
          <w:p w:rsidR="001F30D8" w:rsidRDefault="001F30D8">
            <w:pPr>
              <w:rPr>
                <w:b/>
              </w:rPr>
            </w:pPr>
          </w:p>
        </w:tc>
        <w:tc>
          <w:tcPr>
            <w:tcW w:w="662" w:type="dxa"/>
            <w:shd w:val="clear" w:color="auto" w:fill="A61C00"/>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tcPr>
          <w:p w:rsidR="001F30D8" w:rsidRDefault="001F30D8">
            <w:pPr>
              <w:rPr>
                <w:b/>
              </w:rPr>
            </w:pPr>
          </w:p>
        </w:tc>
      </w:tr>
      <w:tr w:rsidR="001F30D8">
        <w:tc>
          <w:tcPr>
            <w:tcW w:w="4815" w:type="dxa"/>
          </w:tcPr>
          <w:p w:rsidR="001F30D8" w:rsidRDefault="009130CF">
            <w:r>
              <w:t>1:1 pathway conversation with form tutors and students</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tcPr>
          <w:p w:rsidR="001F30D8" w:rsidRDefault="001F30D8">
            <w:pPr>
              <w:rPr>
                <w:b/>
              </w:rPr>
            </w:pPr>
          </w:p>
        </w:tc>
        <w:tc>
          <w:tcPr>
            <w:tcW w:w="876" w:type="dxa"/>
            <w:shd w:val="clear" w:color="auto" w:fill="FFFF00"/>
          </w:tcPr>
          <w:p w:rsidR="001F30D8" w:rsidRDefault="001F30D8">
            <w:pPr>
              <w:rPr>
                <w:b/>
              </w:rPr>
            </w:pPr>
          </w:p>
        </w:tc>
        <w:tc>
          <w:tcPr>
            <w:tcW w:w="797" w:type="dxa"/>
          </w:tcPr>
          <w:p w:rsidR="001F30D8" w:rsidRDefault="001F30D8">
            <w:pPr>
              <w:rPr>
                <w:b/>
              </w:rPr>
            </w:pPr>
          </w:p>
        </w:tc>
        <w:tc>
          <w:tcPr>
            <w:tcW w:w="662" w:type="dxa"/>
          </w:tcPr>
          <w:p w:rsidR="001F30D8" w:rsidRDefault="001F30D8">
            <w:pPr>
              <w:rPr>
                <w:b/>
              </w:rPr>
            </w:pPr>
          </w:p>
        </w:tc>
        <w:tc>
          <w:tcPr>
            <w:tcW w:w="722" w:type="dxa"/>
          </w:tcPr>
          <w:p w:rsidR="001F30D8" w:rsidRDefault="001F30D8">
            <w:pPr>
              <w:rPr>
                <w:b/>
              </w:rPr>
            </w:pPr>
          </w:p>
        </w:tc>
        <w:tc>
          <w:tcPr>
            <w:tcW w:w="827" w:type="dxa"/>
          </w:tcPr>
          <w:p w:rsidR="001F30D8" w:rsidRDefault="001F30D8">
            <w:pPr>
              <w:rPr>
                <w:b/>
              </w:rPr>
            </w:pPr>
          </w:p>
        </w:tc>
        <w:tc>
          <w:tcPr>
            <w:tcW w:w="797" w:type="dxa"/>
            <w:shd w:val="clear" w:color="auto" w:fill="92D050"/>
          </w:tcPr>
          <w:p w:rsidR="001F30D8" w:rsidRDefault="001F30D8">
            <w:pPr>
              <w:rPr>
                <w:b/>
              </w:rPr>
            </w:pPr>
          </w:p>
        </w:tc>
      </w:tr>
      <w:tr w:rsidR="001F30D8">
        <w:tc>
          <w:tcPr>
            <w:tcW w:w="4815" w:type="dxa"/>
          </w:tcPr>
          <w:p w:rsidR="001F30D8" w:rsidRDefault="009130CF">
            <w:pPr>
              <w:spacing w:line="276" w:lineRule="auto"/>
            </w:pPr>
            <w:r>
              <w:t xml:space="preserve">Students have 1:1 meeting with the school’s Careers Advisor </w:t>
            </w:r>
          </w:p>
        </w:tc>
        <w:tc>
          <w:tcPr>
            <w:tcW w:w="3690" w:type="dxa"/>
          </w:tcPr>
          <w:p w:rsidR="001F30D8" w:rsidRDefault="009130CF">
            <w:r>
              <w:t xml:space="preserve">Student’s </w:t>
            </w:r>
            <w:proofErr w:type="spellStart"/>
            <w:r>
              <w:t>Unifrog</w:t>
            </w:r>
            <w:proofErr w:type="spellEnd"/>
            <w:r>
              <w:t xml:space="preserve"> accounts</w:t>
            </w:r>
          </w:p>
        </w:tc>
        <w:tc>
          <w:tcPr>
            <w:tcW w:w="810" w:type="dxa"/>
            <w:shd w:val="clear" w:color="auto" w:fill="1F497D"/>
          </w:tcPr>
          <w:p w:rsidR="001F30D8" w:rsidRDefault="001F30D8">
            <w:pPr>
              <w:rPr>
                <w:b/>
              </w:rPr>
            </w:pPr>
          </w:p>
        </w:tc>
        <w:tc>
          <w:tcPr>
            <w:tcW w:w="810" w:type="dxa"/>
            <w:shd w:val="clear" w:color="auto" w:fill="FFFFFF"/>
          </w:tcPr>
          <w:p w:rsidR="001F30D8" w:rsidRDefault="001F30D8">
            <w:pPr>
              <w:rPr>
                <w:b/>
              </w:rPr>
            </w:pPr>
          </w:p>
        </w:tc>
        <w:tc>
          <w:tcPr>
            <w:tcW w:w="876" w:type="dxa"/>
            <w:shd w:val="clear" w:color="auto" w:fill="FFFF00"/>
          </w:tcPr>
          <w:p w:rsidR="001F30D8" w:rsidRDefault="001F30D8">
            <w:pPr>
              <w:rPr>
                <w:b/>
              </w:rPr>
            </w:pPr>
          </w:p>
        </w:tc>
        <w:tc>
          <w:tcPr>
            <w:tcW w:w="797" w:type="dxa"/>
            <w:shd w:val="clear" w:color="auto" w:fill="FFFFFF"/>
          </w:tcPr>
          <w:p w:rsidR="001F30D8" w:rsidRDefault="001F30D8">
            <w:pPr>
              <w:rPr>
                <w:b/>
              </w:rPr>
            </w:pPr>
          </w:p>
        </w:tc>
        <w:tc>
          <w:tcPr>
            <w:tcW w:w="662" w:type="dxa"/>
          </w:tcPr>
          <w:p w:rsidR="001F30D8" w:rsidRDefault="001F30D8">
            <w:pPr>
              <w:rPr>
                <w:b/>
              </w:rPr>
            </w:pPr>
          </w:p>
        </w:tc>
        <w:tc>
          <w:tcPr>
            <w:tcW w:w="722" w:type="dxa"/>
            <w:shd w:val="clear" w:color="auto" w:fill="FFFFFF"/>
          </w:tcPr>
          <w:p w:rsidR="001F30D8" w:rsidRDefault="001F30D8">
            <w:pPr>
              <w:rPr>
                <w:b/>
              </w:rPr>
            </w:pPr>
          </w:p>
        </w:tc>
        <w:tc>
          <w:tcPr>
            <w:tcW w:w="827" w:type="dxa"/>
            <w:shd w:val="clear" w:color="auto" w:fill="FFFFFF"/>
          </w:tcPr>
          <w:p w:rsidR="001F30D8" w:rsidRDefault="001F30D8">
            <w:pPr>
              <w:rPr>
                <w:b/>
              </w:rPr>
            </w:pPr>
          </w:p>
        </w:tc>
        <w:tc>
          <w:tcPr>
            <w:tcW w:w="797" w:type="dxa"/>
            <w:shd w:val="clear" w:color="auto" w:fill="9BBB59"/>
          </w:tcPr>
          <w:p w:rsidR="001F30D8" w:rsidRDefault="001F30D8">
            <w:pPr>
              <w:rPr>
                <w:b/>
              </w:rPr>
            </w:pPr>
          </w:p>
        </w:tc>
      </w:tr>
    </w:tbl>
    <w:p w:rsidR="001F30D8" w:rsidRDefault="001F30D8">
      <w:pPr>
        <w:spacing w:after="0"/>
        <w:rPr>
          <w:b/>
          <w:sz w:val="24"/>
          <w:szCs w:val="24"/>
        </w:rPr>
      </w:pP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Strategic Overview</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 we offer as stated above is in place to ensure that students develop the necessary knowledge and skills at the appropriate ages and key stages.</w:t>
      </w:r>
    </w:p>
    <w:p w:rsidR="001F30D8" w:rsidRDefault="009130CF">
      <w:pPr>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Belong</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end of Key Stage 3, all students will have:</w:t>
      </w:r>
    </w:p>
    <w:p w:rsidR="001F30D8" w:rsidRDefault="009130CF">
      <w:pPr>
        <w:numPr>
          <w:ilvl w:val="0"/>
          <w:numId w:val="1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better understanding of the full range</w:t>
      </w:r>
      <w:r>
        <w:rPr>
          <w:rFonts w:ascii="Times New Roman" w:eastAsia="Times New Roman" w:hAnsi="Times New Roman" w:cs="Times New Roman"/>
          <w:sz w:val="24"/>
          <w:szCs w:val="24"/>
        </w:rPr>
        <w:t xml:space="preserve"> of opportunities for progression and the knowledge to make informed decisions regarding their GCSE options.</w:t>
      </w:r>
    </w:p>
    <w:p w:rsidR="001F30D8" w:rsidRDefault="009130CF">
      <w:pPr>
        <w:numPr>
          <w:ilvl w:val="0"/>
          <w:numId w:val="1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better understanding of their strengths and areas for development and support to understand how these might affect the careers they aspire to.</w:t>
      </w:r>
    </w:p>
    <w:p w:rsidR="001F30D8" w:rsidRDefault="009130CF">
      <w:pPr>
        <w:numPr>
          <w:ilvl w:val="0"/>
          <w:numId w:val="10"/>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understanding of the attitudes and skills needed for employability in general.</w:t>
      </w:r>
    </w:p>
    <w:p w:rsidR="001F30D8" w:rsidRDefault="009130CF">
      <w:pPr>
        <w:numPr>
          <w:ilvl w:val="0"/>
          <w:numId w:val="10"/>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Used online careers resources to research information regarding their career opportunities and the local labour market.</w:t>
      </w:r>
    </w:p>
    <w:p w:rsidR="001F30D8" w:rsidRDefault="001F30D8">
      <w:pPr>
        <w:spacing w:after="160" w:line="259" w:lineRule="auto"/>
        <w:rPr>
          <w:rFonts w:ascii="Times New Roman" w:eastAsia="Times New Roman" w:hAnsi="Times New Roman" w:cs="Times New Roman"/>
          <w:b/>
          <w:sz w:val="24"/>
          <w:szCs w:val="24"/>
          <w:u w:val="single"/>
        </w:rPr>
      </w:pPr>
    </w:p>
    <w:p w:rsidR="001F30D8" w:rsidRDefault="001F30D8">
      <w:pPr>
        <w:spacing w:after="160" w:line="259" w:lineRule="auto"/>
        <w:rPr>
          <w:rFonts w:ascii="Times New Roman" w:eastAsia="Times New Roman" w:hAnsi="Times New Roman" w:cs="Times New Roman"/>
          <w:b/>
          <w:sz w:val="24"/>
          <w:szCs w:val="24"/>
          <w:u w:val="single"/>
        </w:rPr>
      </w:pPr>
    </w:p>
    <w:p w:rsidR="001F30D8" w:rsidRDefault="009130CF">
      <w:pPr>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Believe</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Key Stage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all students will have:</w:t>
      </w:r>
    </w:p>
    <w:p w:rsidR="001F30D8" w:rsidRDefault="009130CF">
      <w:pPr>
        <w:numPr>
          <w:ilvl w:val="0"/>
          <w:numId w:val="9"/>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employability skills and a better understanding of working policies and procedures through completing the work experience programme.</w:t>
      </w:r>
    </w:p>
    <w:p w:rsidR="001F30D8" w:rsidRDefault="009130CF">
      <w:pPr>
        <w:numPr>
          <w:ilvl w:val="0"/>
          <w:numId w:val="9"/>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Developed confidence in speaking with prospective employers and</w:t>
      </w:r>
      <w:r>
        <w:rPr>
          <w:rFonts w:ascii="Times New Roman" w:eastAsia="Times New Roman" w:hAnsi="Times New Roman" w:cs="Times New Roman"/>
          <w:sz w:val="24"/>
          <w:szCs w:val="24"/>
        </w:rPr>
        <w:t xml:space="preserve"> have a better understanding of how to conduct themselves in interview situations.</w:t>
      </w:r>
    </w:p>
    <w:p w:rsidR="001F30D8" w:rsidRDefault="009130CF">
      <w:pPr>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Become</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end of Key Stage 4 and </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 xml:space="preserve"> all students will have:</w:t>
      </w:r>
    </w:p>
    <w:p w:rsidR="001F30D8" w:rsidRDefault="009130CF">
      <w:pPr>
        <w:numPr>
          <w:ilvl w:val="0"/>
          <w:numId w:val="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understanding of the potential routes available to them post-16 and support in helping them to make choices</w:t>
      </w:r>
      <w:r>
        <w:rPr>
          <w:rFonts w:ascii="Times New Roman" w:eastAsia="Times New Roman" w:hAnsi="Times New Roman" w:cs="Times New Roman"/>
          <w:sz w:val="24"/>
          <w:szCs w:val="24"/>
        </w:rPr>
        <w:t xml:space="preserve"> and applications regarding their next steps.</w:t>
      </w:r>
    </w:p>
    <w:p w:rsidR="001F30D8" w:rsidRDefault="009130CF">
      <w:pPr>
        <w:numPr>
          <w:ilvl w:val="0"/>
          <w:numId w:val="5"/>
        </w:numPr>
        <w:spacing w:after="0" w:line="259"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Been provided</w:t>
      </w:r>
      <w:proofErr w:type="gramEnd"/>
      <w:r>
        <w:rPr>
          <w:rFonts w:ascii="Times New Roman" w:eastAsia="Times New Roman" w:hAnsi="Times New Roman" w:cs="Times New Roman"/>
          <w:sz w:val="24"/>
          <w:szCs w:val="24"/>
        </w:rPr>
        <w:t xml:space="preserve"> with the resources to develop their CVs to help assist with part-time employment and apprenticeship applications.</w:t>
      </w:r>
    </w:p>
    <w:p w:rsidR="001F30D8" w:rsidRDefault="009130CF">
      <w:pPr>
        <w:numPr>
          <w:ilvl w:val="0"/>
          <w:numId w:val="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Grown their career management and employability skills through enrichment, work experience and work shadowing opportunities.</w:t>
      </w:r>
    </w:p>
    <w:p w:rsidR="001F30D8" w:rsidRDefault="009130CF">
      <w:pPr>
        <w:numPr>
          <w:ilvl w:val="0"/>
          <w:numId w:val="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Used ICT software and other resources to investigate and explore future choices and progression routes including full time work, Hi</w:t>
      </w:r>
      <w:r>
        <w:rPr>
          <w:rFonts w:ascii="Times New Roman" w:eastAsia="Times New Roman" w:hAnsi="Times New Roman" w:cs="Times New Roman"/>
          <w:sz w:val="24"/>
          <w:szCs w:val="24"/>
        </w:rPr>
        <w:t>gher Apprenticeships and University.</w:t>
      </w:r>
    </w:p>
    <w:p w:rsidR="001F30D8" w:rsidRDefault="009130CF">
      <w:pPr>
        <w:numPr>
          <w:ilvl w:val="0"/>
          <w:numId w:val="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guidance through the UCAS application procedure.</w:t>
      </w:r>
    </w:p>
    <w:p w:rsidR="001F30D8" w:rsidRDefault="009130CF">
      <w:pPr>
        <w:numPr>
          <w:ilvl w:val="0"/>
          <w:numId w:val="5"/>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Had direct access to employers and universities.</w:t>
      </w:r>
    </w:p>
    <w:p w:rsidR="001F30D8" w:rsidRDefault="009130CF">
      <w:pPr>
        <w:numPr>
          <w:ilvl w:val="0"/>
          <w:numId w:val="5"/>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Received guidance to help identify a range of Post-18 options.</w:t>
      </w: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Staff Development, Funding and Resources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Funding </w:t>
      </w:r>
      <w:proofErr w:type="gramStart"/>
      <w:r>
        <w:rPr>
          <w:rFonts w:ascii="Times New Roman" w:eastAsia="Times New Roman" w:hAnsi="Times New Roman" w:cs="Times New Roman"/>
          <w:sz w:val="24"/>
          <w:szCs w:val="24"/>
        </w:rPr>
        <w:t>is accessed</w:t>
      </w:r>
      <w:proofErr w:type="gramEnd"/>
      <w:r>
        <w:rPr>
          <w:rFonts w:ascii="Times New Roman" w:eastAsia="Times New Roman" w:hAnsi="Times New Roman" w:cs="Times New Roman"/>
          <w:sz w:val="24"/>
          <w:szCs w:val="24"/>
        </w:rPr>
        <w:t xml:space="preserve"> from the whole school curriculum and Pupil Premium budgets held by the Assistant and Deputy Principals. We use multiple web-based platforms such as </w:t>
      </w:r>
      <w:proofErr w:type="spellStart"/>
      <w:r>
        <w:rPr>
          <w:rFonts w:ascii="Times New Roman" w:eastAsia="Times New Roman" w:hAnsi="Times New Roman" w:cs="Times New Roman"/>
          <w:sz w:val="24"/>
          <w:szCs w:val="24"/>
        </w:rPr>
        <w:t>Unifrog</w:t>
      </w:r>
      <w:proofErr w:type="spellEnd"/>
      <w:r>
        <w:rPr>
          <w:rFonts w:ascii="Times New Roman" w:eastAsia="Times New Roman" w:hAnsi="Times New Roman" w:cs="Times New Roman"/>
          <w:sz w:val="24"/>
          <w:szCs w:val="24"/>
        </w:rPr>
        <w:t xml:space="preserve"> and the Careers Guidance Charts to ensure that students have access to career exploratio</w:t>
      </w:r>
      <w:r>
        <w:rPr>
          <w:rFonts w:ascii="Times New Roman" w:eastAsia="Times New Roman" w:hAnsi="Times New Roman" w:cs="Times New Roman"/>
          <w:sz w:val="24"/>
          <w:szCs w:val="24"/>
        </w:rPr>
        <w:t>ns and work with providers to ensure employer engagement and work experience. The CEAIG Advisor regularly attends careers meeting, networking events and contributes to regional and national discussions in order to ensure they are up to date with all indust</w:t>
      </w:r>
      <w:r>
        <w:rPr>
          <w:rFonts w:ascii="Times New Roman" w:eastAsia="Times New Roman" w:hAnsi="Times New Roman" w:cs="Times New Roman"/>
          <w:sz w:val="24"/>
          <w:szCs w:val="24"/>
        </w:rPr>
        <w:t>ry and labour market information,</w:t>
      </w: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Quality, Monitoring and Evaluation</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careers programme is monitored</w:t>
      </w:r>
      <w:proofErr w:type="gramStart"/>
      <w:r>
        <w:rPr>
          <w:rFonts w:ascii="Times New Roman" w:eastAsia="Times New Roman" w:hAnsi="Times New Roman" w:cs="Times New Roman"/>
          <w:sz w:val="24"/>
          <w:szCs w:val="24"/>
        </w:rPr>
        <w:t>,  reviewed</w:t>
      </w:r>
      <w:proofErr w:type="gramEnd"/>
      <w:r>
        <w:rPr>
          <w:rFonts w:ascii="Times New Roman" w:eastAsia="Times New Roman" w:hAnsi="Times New Roman" w:cs="Times New Roman"/>
          <w:sz w:val="24"/>
          <w:szCs w:val="24"/>
        </w:rPr>
        <w:t xml:space="preserve"> and evaluated every year and a report is submitted to the Board of Governors for discussion through our CEAIG coordinator and Link Go</w:t>
      </w:r>
      <w:r>
        <w:rPr>
          <w:rFonts w:ascii="Times New Roman" w:eastAsia="Times New Roman" w:hAnsi="Times New Roman" w:cs="Times New Roman"/>
          <w:sz w:val="24"/>
          <w:szCs w:val="24"/>
        </w:rPr>
        <w:t>vernor at the school.</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 students and staff evaluate activities that form part of the CEAIG programme. This evaluation then informs planning for the next year. Evaluation focuses on how effective the event/activity has been in helping students to a</w:t>
      </w:r>
      <w:r>
        <w:rPr>
          <w:rFonts w:ascii="Times New Roman" w:eastAsia="Times New Roman" w:hAnsi="Times New Roman" w:cs="Times New Roman"/>
          <w:sz w:val="24"/>
          <w:szCs w:val="24"/>
        </w:rPr>
        <w:t>chieve the intended learning outcomes.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annual report for CEAIG draws information form a number of sources including:</w:t>
      </w:r>
    </w:p>
    <w:p w:rsidR="001F30D8" w:rsidRDefault="009130CF">
      <w:pPr>
        <w:numPr>
          <w:ilvl w:val="0"/>
          <w:numId w:val="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and employer feedback forms.</w:t>
      </w:r>
    </w:p>
    <w:p w:rsidR="001F30D8" w:rsidRDefault="009130CF">
      <w:pPr>
        <w:numPr>
          <w:ilvl w:val="0"/>
          <w:numId w:val="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Feedback from staff and parents from yearly surveys.</w:t>
      </w:r>
    </w:p>
    <w:p w:rsidR="001F30D8" w:rsidRDefault="009130CF">
      <w:pPr>
        <w:numPr>
          <w:ilvl w:val="0"/>
          <w:numId w:val="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 of careers events and activities.</w:t>
      </w:r>
    </w:p>
    <w:p w:rsidR="001F30D8" w:rsidRDefault="009130CF">
      <w:pPr>
        <w:numPr>
          <w:ilvl w:val="0"/>
          <w:numId w:val="4"/>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on intended destinations for years 11, 12 and 13.</w:t>
      </w:r>
    </w:p>
    <w:p w:rsidR="001F30D8" w:rsidRDefault="009130CF">
      <w:pPr>
        <w:numPr>
          <w:ilvl w:val="0"/>
          <w:numId w:val="4"/>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NEET and destination data</w:t>
      </w:r>
    </w:p>
    <w:p w:rsidR="001F30D8" w:rsidRDefault="009130CF">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also uses both the Compass and Tracker tools to evaluate and monitor the careers programme.</w:t>
      </w:r>
    </w:p>
    <w:p w:rsidR="001F30D8" w:rsidRDefault="009130CF">
      <w:pPr>
        <w:spacing w:after="160" w:line="259" w:lineRule="auto"/>
        <w:ind w:left="36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Careers Guidance</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Harris is responsible for independent Career</w:t>
      </w:r>
      <w:r>
        <w:rPr>
          <w:rFonts w:ascii="Times New Roman" w:eastAsia="Times New Roman" w:hAnsi="Times New Roman" w:cs="Times New Roman"/>
          <w:sz w:val="24"/>
          <w:szCs w:val="24"/>
        </w:rPr>
        <w:t xml:space="preserve">s Advice and Guidance at Shenley Brook End School. Mrs Harris </w:t>
      </w:r>
      <w:proofErr w:type="gramStart"/>
      <w:r>
        <w:rPr>
          <w:rFonts w:ascii="Times New Roman" w:eastAsia="Times New Roman" w:hAnsi="Times New Roman" w:cs="Times New Roman"/>
          <w:sz w:val="24"/>
          <w:szCs w:val="24"/>
        </w:rPr>
        <w:t>is based</w:t>
      </w:r>
      <w:proofErr w:type="gramEnd"/>
      <w:r>
        <w:rPr>
          <w:rFonts w:ascii="Times New Roman" w:eastAsia="Times New Roman" w:hAnsi="Times New Roman" w:cs="Times New Roman"/>
          <w:sz w:val="24"/>
          <w:szCs w:val="24"/>
        </w:rPr>
        <w:t xml:space="preserve"> in the Careers Office opposite Art 1.</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in years 7 to 13 can arrange an appointment with Mrs Harris by speaking with their Form Tutor, Head of Year or arranging an appointment</w:t>
      </w:r>
      <w:r>
        <w:rPr>
          <w:rFonts w:ascii="Times New Roman" w:eastAsia="Times New Roman" w:hAnsi="Times New Roman" w:cs="Times New Roman"/>
          <w:sz w:val="24"/>
          <w:szCs w:val="24"/>
        </w:rPr>
        <w:t xml:space="preserve"> directly in form time, break time, lunch or after school.</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Appointments can cover a range of topics including:</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Careers exploration</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about a particular career/industry</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Post-16 options</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Post-18 options</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Job application support</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Apprenticeships</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w:t>
      </w:r>
      <w:r>
        <w:rPr>
          <w:rFonts w:ascii="Times New Roman" w:eastAsia="Times New Roman" w:hAnsi="Times New Roman" w:cs="Times New Roman"/>
          <w:sz w:val="24"/>
          <w:szCs w:val="24"/>
        </w:rPr>
        <w:t>ative routes in to careers</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CV writing</w:t>
      </w:r>
    </w:p>
    <w:p w:rsidR="001F30D8" w:rsidRDefault="009130CF">
      <w:pPr>
        <w:numPr>
          <w:ilvl w:val="0"/>
          <w:numId w:val="6"/>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Mock interviews</w:t>
      </w:r>
    </w:p>
    <w:p w:rsidR="001F30D8" w:rsidRDefault="009130CF">
      <w:pPr>
        <w:numPr>
          <w:ilvl w:val="0"/>
          <w:numId w:val="6"/>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next steps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advice and guidance provided is personalised to the student, impartial and detailed. At the end of a careers appointment students can expect to go away with a detailed action plan in order to help them follow through in researching planning and taking </w:t>
      </w:r>
      <w:r>
        <w:rPr>
          <w:rFonts w:ascii="Times New Roman" w:eastAsia="Times New Roman" w:hAnsi="Times New Roman" w:cs="Times New Roman"/>
          <w:sz w:val="24"/>
          <w:szCs w:val="24"/>
        </w:rPr>
        <w:t>action in order to progress.</w:t>
      </w:r>
    </w:p>
    <w:p w:rsidR="001F30D8" w:rsidRDefault="009130CF">
      <w:pPr>
        <w:spacing w:after="160" w:line="259" w:lineRule="auto"/>
        <w:ind w:lef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Careers Lead</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Careers lead at Shenley Brook End School is Mr C Holmwood. Mr Holmwood can be contacted </w:t>
      </w:r>
      <w:proofErr w:type="gramStart"/>
      <w:r>
        <w:rPr>
          <w:rFonts w:ascii="Times New Roman" w:eastAsia="Times New Roman" w:hAnsi="Times New Roman" w:cs="Times New Roman"/>
          <w:sz w:val="24"/>
          <w:szCs w:val="24"/>
        </w:rPr>
        <w:t>at:</w:t>
      </w:r>
      <w:proofErr w:type="gramEnd"/>
      <w:r>
        <w:rPr>
          <w:rFonts w:ascii="Times New Roman" w:eastAsia="Times New Roman" w:hAnsi="Times New Roman" w:cs="Times New Roman"/>
          <w:sz w:val="24"/>
          <w:szCs w:val="24"/>
        </w:rPr>
        <w:t xml:space="preserve"> </w:t>
      </w:r>
      <w:hyperlink r:id="rId15">
        <w:r>
          <w:rPr>
            <w:rFonts w:ascii="Times New Roman" w:eastAsia="Times New Roman" w:hAnsi="Times New Roman" w:cs="Times New Roman"/>
            <w:color w:val="0563C1"/>
            <w:sz w:val="24"/>
            <w:szCs w:val="24"/>
            <w:u w:val="single"/>
          </w:rPr>
          <w:t>enquires@sbeschool.org.uk</w:t>
        </w:r>
      </w:hyperlink>
      <w:r>
        <w:rPr>
          <w:rFonts w:ascii="Times New Roman" w:eastAsia="Times New Roman" w:hAnsi="Times New Roman" w:cs="Times New Roman"/>
          <w:sz w:val="24"/>
          <w:szCs w:val="24"/>
        </w:rPr>
        <w:t xml:space="preserve"> or on 01908 520264.</w:t>
      </w:r>
    </w:p>
    <w:p w:rsidR="001F30D8" w:rsidRDefault="009130CF">
      <w:pPr>
        <w:spacing w:after="160" w:line="259" w:lineRule="auto"/>
        <w:ind w:left="7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Students at Shenley Brook End School</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staff at the school will support you in developing the skills you need for the world of work. You will receive information when appropriate about work experience opportunities, how your subjects link to careers and </w:t>
      </w:r>
      <w:r>
        <w:rPr>
          <w:rFonts w:ascii="Times New Roman" w:eastAsia="Times New Roman" w:hAnsi="Times New Roman" w:cs="Times New Roman"/>
          <w:sz w:val="24"/>
          <w:szCs w:val="24"/>
        </w:rPr>
        <w:t>will meet people from the world of work who could help you to acquire the skills and knowledge to be successful.</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is committed to helping you to realise your potential and develop your understanding of what is available to you so that when you le</w:t>
      </w:r>
      <w:r>
        <w:rPr>
          <w:rFonts w:ascii="Times New Roman" w:eastAsia="Times New Roman" w:hAnsi="Times New Roman" w:cs="Times New Roman"/>
          <w:sz w:val="24"/>
          <w:szCs w:val="24"/>
        </w:rPr>
        <w:t>ave school you will be equipped to deal with the challenges and opportunities that the world of work brings.</w:t>
      </w:r>
    </w:p>
    <w:p w:rsidR="001F30D8" w:rsidRDefault="001F30D8">
      <w:pPr>
        <w:spacing w:after="160" w:line="259" w:lineRule="auto"/>
        <w:rPr>
          <w:rFonts w:ascii="Times New Roman" w:eastAsia="Times New Roman" w:hAnsi="Times New Roman" w:cs="Times New Roman"/>
          <w:sz w:val="24"/>
          <w:szCs w:val="24"/>
        </w:rPr>
      </w:pP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 we will support your Work Related Learning</w:t>
      </w:r>
    </w:p>
    <w:p w:rsidR="001F30D8" w:rsidRDefault="009130CF">
      <w:pPr>
        <w:numPr>
          <w:ilvl w:val="0"/>
          <w:numId w:val="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 when choosing your GCSE options through career related activities and the Careers and Wo</w:t>
      </w:r>
      <w:r>
        <w:rPr>
          <w:rFonts w:ascii="Times New Roman" w:eastAsia="Times New Roman" w:hAnsi="Times New Roman" w:cs="Times New Roman"/>
          <w:sz w:val="24"/>
          <w:szCs w:val="24"/>
        </w:rPr>
        <w:t>rk Related Learning team.</w:t>
      </w:r>
    </w:p>
    <w:p w:rsidR="001F30D8" w:rsidRDefault="009130CF">
      <w:pPr>
        <w:numPr>
          <w:ilvl w:val="0"/>
          <w:numId w:val="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meet with a variety of employers throughout your time at Shenley Brook End School both in curriculum areas and in standalone events. </w:t>
      </w:r>
    </w:p>
    <w:p w:rsidR="001F30D8" w:rsidRDefault="009130CF">
      <w:pPr>
        <w:numPr>
          <w:ilvl w:val="0"/>
          <w:numId w:val="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be given</w:t>
      </w:r>
      <w:proofErr w:type="gramEnd"/>
      <w:r>
        <w:rPr>
          <w:rFonts w:ascii="Times New Roman" w:eastAsia="Times New Roman" w:hAnsi="Times New Roman" w:cs="Times New Roman"/>
          <w:sz w:val="24"/>
          <w:szCs w:val="24"/>
        </w:rPr>
        <w:t xml:space="preserve"> the opportunity to attend networking sessions with employers or career related tr</w:t>
      </w:r>
      <w:r>
        <w:rPr>
          <w:rFonts w:ascii="Times New Roman" w:eastAsia="Times New Roman" w:hAnsi="Times New Roman" w:cs="Times New Roman"/>
          <w:sz w:val="24"/>
          <w:szCs w:val="24"/>
        </w:rPr>
        <w:t>ips.</w:t>
      </w:r>
    </w:p>
    <w:p w:rsidR="001F30D8" w:rsidRDefault="009130CF">
      <w:pPr>
        <w:numPr>
          <w:ilvl w:val="0"/>
          <w:numId w:val="7"/>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the opportunity to experience the world of work through a 2-week placement in Year 10.</w:t>
      </w:r>
    </w:p>
    <w:p w:rsidR="001F30D8" w:rsidRDefault="009130CF">
      <w:pPr>
        <w:numPr>
          <w:ilvl w:val="0"/>
          <w:numId w:val="7"/>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have access to independent and impartial advice regarding your careers options and next steps at the end of Year 11 and Year 13.</w:t>
      </w:r>
    </w:p>
    <w:p w:rsidR="001F30D8" w:rsidRDefault="009130CF">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activ</w:t>
      </w:r>
      <w:r>
        <w:rPr>
          <w:rFonts w:ascii="Times New Roman" w:eastAsia="Times New Roman" w:hAnsi="Times New Roman" w:cs="Times New Roman"/>
          <w:sz w:val="24"/>
          <w:szCs w:val="24"/>
        </w:rPr>
        <w:t>ities and opportunities, you can expect from us at school, it is always best if you develop your own skills and knowledge through extracurricular activities after school and in the school holidays. Employers are always impressed to see students who have sh</w:t>
      </w:r>
      <w:r>
        <w:rPr>
          <w:rFonts w:ascii="Times New Roman" w:eastAsia="Times New Roman" w:hAnsi="Times New Roman" w:cs="Times New Roman"/>
          <w:sz w:val="24"/>
          <w:szCs w:val="24"/>
        </w:rPr>
        <w:t xml:space="preserve">own they are engaged in multiple projects and have done more than the bare minimum. </w:t>
      </w:r>
    </w:p>
    <w:p w:rsidR="001F30D8" w:rsidRDefault="009130CF">
      <w:pPr>
        <w:spacing w:after="160" w:line="259"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looking to make yourself the most competitive when applying for future options after Year 11, 12 or 13 you may want to consider completing some of the following</w:t>
      </w:r>
      <w:r>
        <w:rPr>
          <w:rFonts w:ascii="Times New Roman" w:eastAsia="Times New Roman" w:hAnsi="Times New Roman" w:cs="Times New Roman"/>
          <w:sz w:val="24"/>
          <w:szCs w:val="24"/>
        </w:rPr>
        <w:t xml:space="preserve"> activities.</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Gain work experience</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a club of interest (this could be related to a career such as Army Cadets)</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Volunteering</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a website, build a model or write a blog</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a small business</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 part in fundraising activities</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the Duke of Edinburgh Award</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for the NCS programme</w:t>
      </w:r>
    </w:p>
    <w:p w:rsidR="001F30D8" w:rsidRDefault="009130CF">
      <w:pPr>
        <w:numPr>
          <w:ilvl w:val="0"/>
          <w:numId w:val="3"/>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a sports team</w:t>
      </w:r>
    </w:p>
    <w:p w:rsidR="001F30D8" w:rsidRDefault="009130CF">
      <w:pPr>
        <w:numPr>
          <w:ilvl w:val="0"/>
          <w:numId w:val="3"/>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 part-time job</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 to know how to start deciding what to aim for in your career or working life, try asking yourself these questions: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enjoy?</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subjects are you good at in school?</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your hobbies?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TENSILE skills do you have?</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sort of a person are you?</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like interacting with people?</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Would you like a job that is more practical or office based?</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more </w:t>
      </w:r>
      <w:proofErr w:type="gramStart"/>
      <w:r>
        <w:rPr>
          <w:rFonts w:ascii="Times New Roman" w:eastAsia="Times New Roman" w:hAnsi="Times New Roman" w:cs="Times New Roman"/>
          <w:sz w:val="24"/>
          <w:szCs w:val="24"/>
        </w:rPr>
        <w:t>help</w:t>
      </w:r>
      <w:proofErr w:type="gramEnd"/>
      <w:r>
        <w:rPr>
          <w:rFonts w:ascii="Times New Roman" w:eastAsia="Times New Roman" w:hAnsi="Times New Roman" w:cs="Times New Roman"/>
          <w:sz w:val="24"/>
          <w:szCs w:val="24"/>
        </w:rPr>
        <w:t xml:space="preserve"> answering the</w:t>
      </w:r>
      <w:r>
        <w:rPr>
          <w:rFonts w:ascii="Times New Roman" w:eastAsia="Times New Roman" w:hAnsi="Times New Roman" w:cs="Times New Roman"/>
          <w:sz w:val="24"/>
          <w:szCs w:val="24"/>
        </w:rPr>
        <w:t>se questions and deciding what you want to do please see our Careers Advisor or use the useful links below:</w:t>
      </w:r>
    </w:p>
    <w:p w:rsidR="001F30D8" w:rsidRDefault="009130CF">
      <w:pPr>
        <w:spacing w:after="160" w:line="259"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0563C1"/>
            <w:sz w:val="24"/>
            <w:szCs w:val="24"/>
            <w:u w:val="single"/>
          </w:rPr>
          <w:t>www.icloud.com</w:t>
        </w:r>
      </w:hyperlink>
    </w:p>
    <w:p w:rsidR="001F30D8" w:rsidRDefault="009130CF">
      <w:pPr>
        <w:spacing w:after="160" w:line="259"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0563C1"/>
            <w:sz w:val="24"/>
            <w:szCs w:val="24"/>
            <w:u w:val="single"/>
          </w:rPr>
          <w:t>www.nationalcareersservice.direct.gov.uk</w:t>
        </w:r>
      </w:hyperlink>
    </w:p>
    <w:p w:rsidR="001F30D8" w:rsidRDefault="009130CF">
      <w:pPr>
        <w:spacing w:after="160" w:line="259" w:lineRule="auto"/>
        <w:rPr>
          <w:rFonts w:ascii="Times New Roman" w:eastAsia="Times New Roman" w:hAnsi="Times New Roman" w:cs="Times New Roman"/>
          <w:sz w:val="24"/>
          <w:szCs w:val="24"/>
        </w:rPr>
      </w:pPr>
      <w:hyperlink r:id="rId18">
        <w:r>
          <w:rPr>
            <w:rFonts w:ascii="Times New Roman" w:eastAsia="Times New Roman" w:hAnsi="Times New Roman" w:cs="Times New Roman"/>
            <w:color w:val="0563C1"/>
            <w:sz w:val="24"/>
            <w:szCs w:val="24"/>
            <w:u w:val="single"/>
          </w:rPr>
          <w:t>www.careersbox.co.uk</w:t>
        </w:r>
      </w:hyperlink>
    </w:p>
    <w:p w:rsidR="001F30D8" w:rsidRDefault="009130CF">
      <w:pPr>
        <w:spacing w:after="160" w:line="259" w:lineRule="auto"/>
        <w:rPr>
          <w:rFonts w:ascii="Times New Roman" w:eastAsia="Times New Roman" w:hAnsi="Times New Roman" w:cs="Times New Roman"/>
          <w:sz w:val="24"/>
          <w:szCs w:val="24"/>
        </w:rPr>
      </w:pPr>
      <w:hyperlink r:id="rId19">
        <w:r>
          <w:rPr>
            <w:rFonts w:ascii="Times New Roman" w:eastAsia="Times New Roman" w:hAnsi="Times New Roman" w:cs="Times New Roman"/>
            <w:color w:val="0563C1"/>
            <w:sz w:val="24"/>
            <w:szCs w:val="24"/>
            <w:u w:val="single"/>
          </w:rPr>
          <w:t>www.stepintothenhs.uk</w:t>
        </w:r>
      </w:hyperlink>
    </w:p>
    <w:p w:rsidR="001F30D8" w:rsidRDefault="009130CF">
      <w:pPr>
        <w:spacing w:after="160" w:line="259" w:lineRule="auto"/>
        <w:rPr>
          <w:rFonts w:ascii="Times New Roman" w:eastAsia="Times New Roman" w:hAnsi="Times New Roman" w:cs="Times New Roman"/>
          <w:sz w:val="24"/>
          <w:szCs w:val="24"/>
        </w:rPr>
      </w:pPr>
      <w:hyperlink r:id="rId20">
        <w:r>
          <w:rPr>
            <w:rFonts w:ascii="Times New Roman" w:eastAsia="Times New Roman" w:hAnsi="Times New Roman" w:cs="Times New Roman"/>
            <w:color w:val="0563C1"/>
            <w:sz w:val="24"/>
            <w:szCs w:val="24"/>
            <w:u w:val="single"/>
          </w:rPr>
          <w:t>www.prospects.ac.uk</w:t>
        </w:r>
      </w:hyperlink>
    </w:p>
    <w:p w:rsidR="001F30D8" w:rsidRDefault="009130CF">
      <w:pPr>
        <w:spacing w:after="160" w:line="259" w:lineRule="auto"/>
        <w:rPr>
          <w:rFonts w:ascii="Times New Roman" w:eastAsia="Times New Roman" w:hAnsi="Times New Roman" w:cs="Times New Roman"/>
          <w:sz w:val="24"/>
          <w:szCs w:val="24"/>
        </w:rPr>
      </w:pPr>
      <w:hyperlink r:id="rId21">
        <w:r>
          <w:rPr>
            <w:rFonts w:ascii="Times New Roman" w:eastAsia="Times New Roman" w:hAnsi="Times New Roman" w:cs="Times New Roman"/>
            <w:color w:val="0563C1"/>
            <w:sz w:val="24"/>
            <w:szCs w:val="24"/>
            <w:u w:val="single"/>
          </w:rPr>
          <w:t>www.learnhowtobecome.org</w:t>
        </w:r>
      </w:hyperlink>
    </w:p>
    <w:p w:rsidR="001F30D8" w:rsidRDefault="009130CF">
      <w:pPr>
        <w:spacing w:after="160" w:line="259" w:lineRule="auto"/>
        <w:rPr>
          <w:rFonts w:ascii="Times New Roman" w:eastAsia="Times New Roman" w:hAnsi="Times New Roman" w:cs="Times New Roman"/>
          <w:sz w:val="24"/>
          <w:szCs w:val="24"/>
        </w:rPr>
      </w:pPr>
      <w:hyperlink r:id="rId22">
        <w:r>
          <w:rPr>
            <w:rFonts w:ascii="Times New Roman" w:eastAsia="Times New Roman" w:hAnsi="Times New Roman" w:cs="Times New Roman"/>
            <w:color w:val="0563C1"/>
            <w:sz w:val="24"/>
            <w:szCs w:val="24"/>
            <w:u w:val="single"/>
          </w:rPr>
          <w:t>www.russellgroup.ac.uk/for-students/school-and-college-in-the-</w:t>
        </w:r>
        <w:r>
          <w:rPr>
            <w:rFonts w:ascii="Times New Roman" w:eastAsia="Times New Roman" w:hAnsi="Times New Roman" w:cs="Times New Roman"/>
            <w:color w:val="0563C1"/>
            <w:sz w:val="24"/>
            <w:szCs w:val="24"/>
            <w:u w:val="single"/>
          </w:rPr>
          <w:t>uk/subject-choices-at-school-and-college</w:t>
        </w:r>
      </w:hyperlink>
    </w:p>
    <w:p w:rsidR="001F30D8" w:rsidRDefault="009130CF">
      <w:pPr>
        <w:spacing w:after="160" w:line="259" w:lineRule="auto"/>
        <w:rPr>
          <w:rFonts w:ascii="Times New Roman" w:eastAsia="Times New Roman" w:hAnsi="Times New Roman" w:cs="Times New Roman"/>
          <w:sz w:val="24"/>
          <w:szCs w:val="24"/>
        </w:rPr>
      </w:pPr>
      <w:hyperlink r:id="rId23">
        <w:r>
          <w:rPr>
            <w:rFonts w:ascii="Times New Roman" w:eastAsia="Times New Roman" w:hAnsi="Times New Roman" w:cs="Times New Roman"/>
            <w:color w:val="0563C1"/>
            <w:sz w:val="24"/>
            <w:szCs w:val="24"/>
            <w:u w:val="single"/>
          </w:rPr>
          <w:t>www.ucas.com</w:t>
        </w:r>
      </w:hyperlink>
    </w:p>
    <w:p w:rsidR="001F30D8" w:rsidRDefault="009130CF">
      <w:pPr>
        <w:spacing w:after="160" w:line="259" w:lineRule="auto"/>
        <w:rPr>
          <w:rFonts w:ascii="Times New Roman" w:eastAsia="Times New Roman" w:hAnsi="Times New Roman" w:cs="Times New Roman"/>
          <w:sz w:val="24"/>
          <w:szCs w:val="24"/>
        </w:rPr>
      </w:pPr>
      <w:hyperlink r:id="rId24">
        <w:r>
          <w:rPr>
            <w:rFonts w:ascii="Times New Roman" w:eastAsia="Times New Roman" w:hAnsi="Times New Roman" w:cs="Times New Roman"/>
            <w:color w:val="0563C1"/>
            <w:sz w:val="24"/>
            <w:szCs w:val="24"/>
            <w:u w:val="single"/>
          </w:rPr>
          <w:t>www.gov.uk/apply-apprenticeship</w:t>
        </w:r>
      </w:hyperlink>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Information for Parents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Shenley Brook End </w:t>
      </w:r>
      <w:proofErr w:type="gramStart"/>
      <w:r>
        <w:rPr>
          <w:rFonts w:ascii="Times New Roman" w:eastAsia="Times New Roman" w:hAnsi="Times New Roman" w:cs="Times New Roman"/>
          <w:sz w:val="24"/>
          <w:szCs w:val="24"/>
        </w:rPr>
        <w:t>school</w:t>
      </w:r>
      <w:proofErr w:type="gramEnd"/>
      <w:r>
        <w:rPr>
          <w:rFonts w:ascii="Times New Roman" w:eastAsia="Times New Roman" w:hAnsi="Times New Roman" w:cs="Times New Roman"/>
          <w:sz w:val="24"/>
          <w:szCs w:val="24"/>
        </w:rPr>
        <w:t xml:space="preserve"> we recognise the vita</w:t>
      </w:r>
      <w:r>
        <w:rPr>
          <w:rFonts w:ascii="Times New Roman" w:eastAsia="Times New Roman" w:hAnsi="Times New Roman" w:cs="Times New Roman"/>
          <w:sz w:val="24"/>
          <w:szCs w:val="24"/>
        </w:rPr>
        <w:t>l importance of the support that parents and carers bring to students as they progress through the school. We will inform parents at relevant stages throughout the year of careers related activities and application deadlines for Post 16 and Post 18 pathway</w:t>
      </w:r>
      <w:r>
        <w:rPr>
          <w:rFonts w:ascii="Times New Roman" w:eastAsia="Times New Roman" w:hAnsi="Times New Roman" w:cs="Times New Roman"/>
          <w:sz w:val="24"/>
          <w:szCs w:val="24"/>
        </w:rPr>
        <w:t xml:space="preserve"> decisions. You will receive this information via </w:t>
      </w:r>
      <w:proofErr w:type="spellStart"/>
      <w:r>
        <w:rPr>
          <w:rFonts w:ascii="Times New Roman" w:eastAsia="Times New Roman" w:hAnsi="Times New Roman" w:cs="Times New Roman"/>
          <w:sz w:val="24"/>
          <w:szCs w:val="24"/>
        </w:rPr>
        <w:t>Parentmail</w:t>
      </w:r>
      <w:proofErr w:type="spellEnd"/>
      <w:r>
        <w:rPr>
          <w:rFonts w:ascii="Times New Roman" w:eastAsia="Times New Roman" w:hAnsi="Times New Roman" w:cs="Times New Roman"/>
          <w:sz w:val="24"/>
          <w:szCs w:val="24"/>
        </w:rPr>
        <w:t xml:space="preserve"> and the school newsletter.</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opinion and feedback is also crucially important to us and you will receive questionnaires throughout the year, the results of which will help inform the continued</w:t>
      </w:r>
      <w:r>
        <w:rPr>
          <w:rFonts w:ascii="Times New Roman" w:eastAsia="Times New Roman" w:hAnsi="Times New Roman" w:cs="Times New Roman"/>
          <w:sz w:val="24"/>
          <w:szCs w:val="24"/>
        </w:rPr>
        <w:t xml:space="preserve"> development of the careers programme. </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can expect:</w:t>
      </w:r>
    </w:p>
    <w:p w:rsidR="001F30D8" w:rsidRDefault="009130CF">
      <w:pPr>
        <w:numPr>
          <w:ilvl w:val="0"/>
          <w:numId w:val="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have access to a range of support and advice in relation to their career progression when making important decisions about their pathway choices.</w:t>
      </w:r>
    </w:p>
    <w:p w:rsidR="001F30D8" w:rsidRDefault="009130CF">
      <w:pPr>
        <w:numPr>
          <w:ilvl w:val="0"/>
          <w:numId w:val="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have access to 1:1 guidance meetings which parents/carers are welcome to attend.</w:t>
      </w:r>
    </w:p>
    <w:p w:rsidR="001F30D8" w:rsidRDefault="009130CF">
      <w:pPr>
        <w:numPr>
          <w:ilvl w:val="0"/>
          <w:numId w:val="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when organising Experience of Work Placements upon request.</w:t>
      </w:r>
    </w:p>
    <w:p w:rsidR="001F30D8" w:rsidRDefault="009130CF">
      <w:pPr>
        <w:numPr>
          <w:ilvl w:val="0"/>
          <w:numId w:val="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w:t>
      </w:r>
      <w:proofErr w:type="spellStart"/>
      <w:r>
        <w:rPr>
          <w:rFonts w:ascii="Times New Roman" w:eastAsia="Times New Roman" w:hAnsi="Times New Roman" w:cs="Times New Roman"/>
          <w:sz w:val="24"/>
          <w:szCs w:val="24"/>
        </w:rPr>
        <w:t>Unifrog</w:t>
      </w:r>
      <w:proofErr w:type="spellEnd"/>
      <w:r>
        <w:rPr>
          <w:rFonts w:ascii="Times New Roman" w:eastAsia="Times New Roman" w:hAnsi="Times New Roman" w:cs="Times New Roman"/>
          <w:sz w:val="24"/>
          <w:szCs w:val="24"/>
        </w:rPr>
        <w:t xml:space="preserve"> to help support your child in making career and learning pathway decisi</w:t>
      </w:r>
      <w:r>
        <w:rPr>
          <w:rFonts w:ascii="Times New Roman" w:eastAsia="Times New Roman" w:hAnsi="Times New Roman" w:cs="Times New Roman"/>
          <w:sz w:val="24"/>
          <w:szCs w:val="24"/>
        </w:rPr>
        <w:t>ons.</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below are a number of websites that you may also find useful when discussing subject choices and future careers at home:</w:t>
      </w:r>
    </w:p>
    <w:p w:rsidR="001F30D8" w:rsidRDefault="009130CF">
      <w:pPr>
        <w:spacing w:after="160" w:line="259" w:lineRule="auto"/>
        <w:rPr>
          <w:rFonts w:ascii="Times New Roman" w:eastAsia="Times New Roman" w:hAnsi="Times New Roman" w:cs="Times New Roman"/>
          <w:sz w:val="24"/>
          <w:szCs w:val="24"/>
        </w:rPr>
      </w:pPr>
      <w:hyperlink r:id="rId25">
        <w:r>
          <w:rPr>
            <w:rFonts w:ascii="Times New Roman" w:eastAsia="Times New Roman" w:hAnsi="Times New Roman" w:cs="Times New Roman"/>
            <w:color w:val="0563C1"/>
            <w:sz w:val="24"/>
            <w:szCs w:val="24"/>
            <w:u w:val="single"/>
          </w:rPr>
          <w:t>www.icloud.com</w:t>
        </w:r>
      </w:hyperlink>
    </w:p>
    <w:p w:rsidR="001F30D8" w:rsidRDefault="009130CF">
      <w:pPr>
        <w:spacing w:after="160" w:line="259" w:lineRule="auto"/>
        <w:rPr>
          <w:rFonts w:ascii="Times New Roman" w:eastAsia="Times New Roman" w:hAnsi="Times New Roman" w:cs="Times New Roman"/>
          <w:sz w:val="24"/>
          <w:szCs w:val="24"/>
        </w:rPr>
      </w:pPr>
      <w:hyperlink r:id="rId26">
        <w:r>
          <w:rPr>
            <w:rFonts w:ascii="Times New Roman" w:eastAsia="Times New Roman" w:hAnsi="Times New Roman" w:cs="Times New Roman"/>
            <w:color w:val="0563C1"/>
            <w:sz w:val="24"/>
            <w:szCs w:val="24"/>
            <w:u w:val="single"/>
          </w:rPr>
          <w:t>www.nationalcareersservice.direct.gov.uk</w:t>
        </w:r>
      </w:hyperlink>
    </w:p>
    <w:p w:rsidR="001F30D8" w:rsidRDefault="009130CF">
      <w:pPr>
        <w:spacing w:after="160" w:line="259" w:lineRule="auto"/>
        <w:rPr>
          <w:rFonts w:ascii="Times New Roman" w:eastAsia="Times New Roman" w:hAnsi="Times New Roman" w:cs="Times New Roman"/>
          <w:sz w:val="24"/>
          <w:szCs w:val="24"/>
        </w:rPr>
      </w:pPr>
      <w:hyperlink r:id="rId27">
        <w:r>
          <w:rPr>
            <w:rFonts w:ascii="Times New Roman" w:eastAsia="Times New Roman" w:hAnsi="Times New Roman" w:cs="Times New Roman"/>
            <w:color w:val="0563C1"/>
            <w:sz w:val="24"/>
            <w:szCs w:val="24"/>
            <w:u w:val="single"/>
          </w:rPr>
          <w:t>www.careersbox.co.uk</w:t>
        </w:r>
      </w:hyperlink>
    </w:p>
    <w:p w:rsidR="001F30D8" w:rsidRDefault="009130CF">
      <w:pPr>
        <w:spacing w:after="160" w:line="259" w:lineRule="auto"/>
        <w:rPr>
          <w:rFonts w:ascii="Times New Roman" w:eastAsia="Times New Roman" w:hAnsi="Times New Roman" w:cs="Times New Roman"/>
          <w:sz w:val="24"/>
          <w:szCs w:val="24"/>
        </w:rPr>
      </w:pPr>
      <w:hyperlink r:id="rId28">
        <w:r>
          <w:rPr>
            <w:rFonts w:ascii="Times New Roman" w:eastAsia="Times New Roman" w:hAnsi="Times New Roman" w:cs="Times New Roman"/>
            <w:color w:val="0563C1"/>
            <w:sz w:val="24"/>
            <w:szCs w:val="24"/>
            <w:u w:val="single"/>
          </w:rPr>
          <w:t>www.stepintothenhs.uk</w:t>
        </w:r>
      </w:hyperlink>
    </w:p>
    <w:p w:rsidR="001F30D8" w:rsidRDefault="009130CF">
      <w:pPr>
        <w:spacing w:after="160" w:line="259" w:lineRule="auto"/>
        <w:rPr>
          <w:rFonts w:ascii="Times New Roman" w:eastAsia="Times New Roman" w:hAnsi="Times New Roman" w:cs="Times New Roman"/>
          <w:sz w:val="24"/>
          <w:szCs w:val="24"/>
        </w:rPr>
      </w:pPr>
      <w:hyperlink r:id="rId29">
        <w:r>
          <w:rPr>
            <w:rFonts w:ascii="Times New Roman" w:eastAsia="Times New Roman" w:hAnsi="Times New Roman" w:cs="Times New Roman"/>
            <w:color w:val="0563C1"/>
            <w:sz w:val="24"/>
            <w:szCs w:val="24"/>
            <w:u w:val="single"/>
          </w:rPr>
          <w:t>www.prospects.ac.uk</w:t>
        </w:r>
      </w:hyperlink>
    </w:p>
    <w:p w:rsidR="001F30D8" w:rsidRDefault="009130CF">
      <w:pPr>
        <w:spacing w:after="160" w:line="259" w:lineRule="auto"/>
        <w:rPr>
          <w:rFonts w:ascii="Times New Roman" w:eastAsia="Times New Roman" w:hAnsi="Times New Roman" w:cs="Times New Roman"/>
          <w:sz w:val="24"/>
          <w:szCs w:val="24"/>
        </w:rPr>
      </w:pPr>
      <w:hyperlink r:id="rId30">
        <w:r>
          <w:rPr>
            <w:rFonts w:ascii="Times New Roman" w:eastAsia="Times New Roman" w:hAnsi="Times New Roman" w:cs="Times New Roman"/>
            <w:color w:val="0563C1"/>
            <w:sz w:val="24"/>
            <w:szCs w:val="24"/>
            <w:u w:val="single"/>
          </w:rPr>
          <w:t>www.learnhowtobecome.org</w:t>
        </w:r>
      </w:hyperlink>
    </w:p>
    <w:p w:rsidR="001F30D8" w:rsidRDefault="009130CF">
      <w:pPr>
        <w:spacing w:after="160" w:line="259" w:lineRule="auto"/>
        <w:rPr>
          <w:rFonts w:ascii="Times New Roman" w:eastAsia="Times New Roman" w:hAnsi="Times New Roman" w:cs="Times New Roman"/>
          <w:sz w:val="24"/>
          <w:szCs w:val="24"/>
        </w:rPr>
      </w:pPr>
      <w:hyperlink r:id="rId31">
        <w:r>
          <w:rPr>
            <w:rFonts w:ascii="Times New Roman" w:eastAsia="Times New Roman" w:hAnsi="Times New Roman" w:cs="Times New Roman"/>
            <w:color w:val="0563C1"/>
            <w:sz w:val="24"/>
            <w:szCs w:val="24"/>
            <w:u w:val="single"/>
          </w:rPr>
          <w:t>www.russellgroup.ac.uk/for-students/school-and-college-in-the-</w:t>
        </w:r>
        <w:r>
          <w:rPr>
            <w:rFonts w:ascii="Times New Roman" w:eastAsia="Times New Roman" w:hAnsi="Times New Roman" w:cs="Times New Roman"/>
            <w:color w:val="0563C1"/>
            <w:sz w:val="24"/>
            <w:szCs w:val="24"/>
            <w:u w:val="single"/>
          </w:rPr>
          <w:t>uk/subject-choices-at-school-and-college</w:t>
        </w:r>
      </w:hyperlink>
    </w:p>
    <w:p w:rsidR="001F30D8" w:rsidRDefault="009130CF">
      <w:pPr>
        <w:spacing w:after="160" w:line="259" w:lineRule="auto"/>
        <w:rPr>
          <w:rFonts w:ascii="Times New Roman" w:eastAsia="Times New Roman" w:hAnsi="Times New Roman" w:cs="Times New Roman"/>
          <w:sz w:val="24"/>
          <w:szCs w:val="24"/>
        </w:rPr>
      </w:pPr>
      <w:hyperlink r:id="rId32">
        <w:r>
          <w:rPr>
            <w:rFonts w:ascii="Times New Roman" w:eastAsia="Times New Roman" w:hAnsi="Times New Roman" w:cs="Times New Roman"/>
            <w:color w:val="0563C1"/>
            <w:sz w:val="24"/>
            <w:szCs w:val="24"/>
            <w:u w:val="single"/>
          </w:rPr>
          <w:t>www.ucas.com</w:t>
        </w:r>
      </w:hyperlink>
    </w:p>
    <w:p w:rsidR="001F30D8" w:rsidRDefault="009130CF">
      <w:pPr>
        <w:spacing w:after="160" w:line="259" w:lineRule="auto"/>
        <w:rPr>
          <w:rFonts w:ascii="Times New Roman" w:eastAsia="Times New Roman" w:hAnsi="Times New Roman" w:cs="Times New Roman"/>
          <w:color w:val="0563C1"/>
          <w:sz w:val="24"/>
          <w:szCs w:val="24"/>
          <w:u w:val="single"/>
        </w:rPr>
      </w:pPr>
      <w:hyperlink r:id="rId33">
        <w:r>
          <w:rPr>
            <w:rFonts w:ascii="Times New Roman" w:eastAsia="Times New Roman" w:hAnsi="Times New Roman" w:cs="Times New Roman"/>
            <w:color w:val="0563C1"/>
            <w:sz w:val="24"/>
            <w:szCs w:val="24"/>
            <w:u w:val="single"/>
          </w:rPr>
          <w:t>www.gov.uk/apply-apprenticeship</w:t>
        </w:r>
      </w:hyperlink>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appreciate the vital importance of the relationship between our p</w:t>
      </w:r>
      <w:r>
        <w:rPr>
          <w:rFonts w:ascii="Times New Roman" w:eastAsia="Times New Roman" w:hAnsi="Times New Roman" w:cs="Times New Roman"/>
          <w:sz w:val="24"/>
          <w:szCs w:val="24"/>
        </w:rPr>
        <w:t>arent community and the school and welcome parental involvement in helping to promote and educate our students on the range of careers available in our local area.</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interested in taking part in Assemblies or lessons to discuss your own area of wo</w:t>
      </w:r>
      <w:r>
        <w:rPr>
          <w:rFonts w:ascii="Times New Roman" w:eastAsia="Times New Roman" w:hAnsi="Times New Roman" w:cs="Times New Roman"/>
          <w:sz w:val="24"/>
          <w:szCs w:val="24"/>
        </w:rPr>
        <w:t xml:space="preserve">rk, we would be delighted to hear from you.  </w:t>
      </w:r>
    </w:p>
    <w:p w:rsidR="001F30D8" w:rsidRDefault="009130CF">
      <w:pPr>
        <w:spacing w:after="160" w:line="259"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Please contact Mrs Harris on 01908 520264 or at </w:t>
      </w:r>
      <w:hyperlink r:id="rId34">
        <w:r>
          <w:rPr>
            <w:rFonts w:ascii="Times New Roman" w:eastAsia="Times New Roman" w:hAnsi="Times New Roman" w:cs="Times New Roman"/>
            <w:color w:val="0563C1"/>
            <w:sz w:val="24"/>
            <w:szCs w:val="24"/>
            <w:u w:val="single"/>
          </w:rPr>
          <w:t>aharris@sbeschool.org.uk</w:t>
        </w:r>
      </w:hyperlink>
      <w:r>
        <w:rPr>
          <w:rFonts w:ascii="Times New Roman" w:eastAsia="Times New Roman" w:hAnsi="Times New Roman" w:cs="Times New Roman"/>
          <w:color w:val="0563C1"/>
          <w:sz w:val="24"/>
          <w:szCs w:val="24"/>
          <w:u w:val="single"/>
        </w:rPr>
        <w:t xml:space="preserve"> </w:t>
      </w: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Employers, Education, and Training Providers supporting Shenley Brook End School</w:t>
      </w: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How you can get involved</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aim to help every student to reach their full potential and progress onto a successful destination by providing them with the widest possible range of employer and careers related opportunities.   We value the help and support b</w:t>
      </w:r>
      <w:r>
        <w:rPr>
          <w:rFonts w:ascii="Times New Roman" w:eastAsia="Times New Roman" w:hAnsi="Times New Roman" w:cs="Times New Roman"/>
          <w:sz w:val="24"/>
          <w:szCs w:val="24"/>
        </w:rPr>
        <w:t xml:space="preserve">usinesses can offer our students in developing the skills needed for a successful future.  </w:t>
      </w:r>
    </w:p>
    <w:p w:rsidR="001F30D8" w:rsidRDefault="009130CF">
      <w:pPr>
        <w:spacing w:after="160" w:line="259"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You could become involved by offering:</w:t>
      </w:r>
    </w:p>
    <w:p w:rsidR="001F30D8" w:rsidRDefault="009130CF">
      <w:pPr>
        <w:numPr>
          <w:ilvl w:val="0"/>
          <w:numId w:val="8"/>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 visits - host small groups of students </w:t>
      </w:r>
    </w:p>
    <w:p w:rsidR="001F30D8" w:rsidRDefault="009130CF">
      <w:pPr>
        <w:numPr>
          <w:ilvl w:val="0"/>
          <w:numId w:val="8"/>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work experience placement for a student </w:t>
      </w:r>
    </w:p>
    <w:p w:rsidR="001F30D8" w:rsidRDefault="009130CF">
      <w:pPr>
        <w:numPr>
          <w:ilvl w:val="0"/>
          <w:numId w:val="8"/>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students to produce a CV </w:t>
      </w:r>
    </w:p>
    <w:p w:rsidR="001F30D8" w:rsidRDefault="009130CF">
      <w:pPr>
        <w:numPr>
          <w:ilvl w:val="0"/>
          <w:numId w:val="8"/>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mock interviews and provide feedback for success </w:t>
      </w:r>
    </w:p>
    <w:p w:rsidR="001F30D8" w:rsidRDefault="009130CF">
      <w:pPr>
        <w:spacing w:after="160" w:line="259"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sz w:val="24"/>
          <w:szCs w:val="24"/>
        </w:rPr>
        <w:t xml:space="preserve">If you would like to support our students on their Work Related Learning Pathway please contact Mrs Harris on 01908 520264 or at </w:t>
      </w:r>
      <w:hyperlink r:id="rId35">
        <w:r>
          <w:rPr>
            <w:rFonts w:ascii="Times New Roman" w:eastAsia="Times New Roman" w:hAnsi="Times New Roman" w:cs="Times New Roman"/>
            <w:color w:val="0563C1"/>
            <w:sz w:val="24"/>
            <w:szCs w:val="24"/>
            <w:u w:val="single"/>
          </w:rPr>
          <w:t>aharris@sbeschool.org.uk</w:t>
        </w:r>
      </w:hyperlink>
      <w:r>
        <w:rPr>
          <w:rFonts w:ascii="Times New Roman" w:eastAsia="Times New Roman" w:hAnsi="Times New Roman" w:cs="Times New Roman"/>
          <w:color w:val="0563C1"/>
          <w:sz w:val="24"/>
          <w:szCs w:val="24"/>
          <w:u w:val="single"/>
        </w:rPr>
        <w:t xml:space="preserve"> </w:t>
      </w:r>
      <w:r>
        <w:br w:type="page"/>
      </w:r>
    </w:p>
    <w:p w:rsidR="001F30D8" w:rsidRDefault="001F30D8">
      <w:pPr>
        <w:spacing w:after="160" w:line="259" w:lineRule="auto"/>
        <w:rPr>
          <w:rFonts w:ascii="Times New Roman" w:eastAsia="Times New Roman" w:hAnsi="Times New Roman" w:cs="Times New Roman"/>
          <w:color w:val="0563C1"/>
          <w:sz w:val="24"/>
          <w:szCs w:val="24"/>
          <w:u w:val="single"/>
        </w:rPr>
      </w:pP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Teachers at Shenley Brook End School</w:t>
      </w:r>
    </w:p>
    <w:p w:rsidR="001F30D8" w:rsidRDefault="009130CF">
      <w:pPr>
        <w:spacing w:after="160" w:line="259"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 we will support you</w:t>
      </w:r>
    </w:p>
    <w:p w:rsidR="001F30D8" w:rsidRDefault="009130CF">
      <w:pPr>
        <w:numPr>
          <w:ilvl w:val="0"/>
          <w:numId w:val="1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in accessing relevant external employers to engage students within your subjects.</w:t>
      </w:r>
    </w:p>
    <w:p w:rsidR="001F30D8" w:rsidRDefault="009130CF">
      <w:pPr>
        <w:numPr>
          <w:ilvl w:val="0"/>
          <w:numId w:val="1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Assistance in running career related events, project and </w:t>
      </w:r>
      <w:r>
        <w:rPr>
          <w:rFonts w:ascii="Times New Roman" w:eastAsia="Times New Roman" w:hAnsi="Times New Roman" w:cs="Times New Roman"/>
          <w:sz w:val="24"/>
          <w:szCs w:val="24"/>
        </w:rPr>
        <w:t>activities.</w:t>
      </w:r>
    </w:p>
    <w:p w:rsidR="001F30D8" w:rsidRDefault="009130CF">
      <w:pPr>
        <w:numPr>
          <w:ilvl w:val="0"/>
          <w:numId w:val="1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information when assisting students in organising work experience placement in Year 10 and information and assistance when visiting students on work placements.</w:t>
      </w:r>
    </w:p>
    <w:p w:rsidR="001F30D8" w:rsidRDefault="009130CF">
      <w:pPr>
        <w:numPr>
          <w:ilvl w:val="0"/>
          <w:numId w:val="12"/>
        </w:numPr>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regarding pathways as and when requested by students.</w:t>
      </w:r>
    </w:p>
    <w:p w:rsidR="001F30D8" w:rsidRDefault="009130CF">
      <w:pPr>
        <w:numPr>
          <w:ilvl w:val="0"/>
          <w:numId w:val="12"/>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w:t>
      </w:r>
      <w:r>
        <w:rPr>
          <w:rFonts w:ascii="Times New Roman" w:eastAsia="Times New Roman" w:hAnsi="Times New Roman" w:cs="Times New Roman"/>
          <w:sz w:val="24"/>
          <w:szCs w:val="24"/>
        </w:rPr>
        <w:t>mation and advice for students that you refer to 1-1 support.</w:t>
      </w:r>
    </w:p>
    <w:p w:rsidR="001F30D8" w:rsidRDefault="009130C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regarding the above please contact Mrs Harris on 01908 520264 or at </w:t>
      </w:r>
      <w:hyperlink r:id="rId36">
        <w:r>
          <w:rPr>
            <w:rFonts w:ascii="Times New Roman" w:eastAsia="Times New Roman" w:hAnsi="Times New Roman" w:cs="Times New Roman"/>
            <w:color w:val="0563C1"/>
            <w:sz w:val="24"/>
            <w:szCs w:val="24"/>
            <w:u w:val="single"/>
          </w:rPr>
          <w:t>aharris@sbeschool.org.uk</w:t>
        </w:r>
      </w:hyperlink>
      <w:r>
        <w:rPr>
          <w:rFonts w:ascii="Times New Roman" w:eastAsia="Times New Roman" w:hAnsi="Times New Roman" w:cs="Times New Roman"/>
          <w:color w:val="0563C1"/>
          <w:sz w:val="24"/>
          <w:szCs w:val="24"/>
          <w:u w:val="single"/>
        </w:rPr>
        <w:t xml:space="preserve"> </w:t>
      </w:r>
    </w:p>
    <w:p w:rsidR="001F30D8" w:rsidRDefault="001F30D8">
      <w:pPr>
        <w:spacing w:after="0"/>
      </w:pPr>
    </w:p>
    <w:p w:rsidR="001F30D8" w:rsidRDefault="001F30D8">
      <w:pPr>
        <w:spacing w:after="0"/>
      </w:pPr>
    </w:p>
    <w:p w:rsidR="001F30D8" w:rsidRDefault="001F30D8">
      <w:pPr>
        <w:spacing w:after="0"/>
      </w:pPr>
    </w:p>
    <w:p w:rsidR="001F30D8" w:rsidRDefault="001F30D8">
      <w:pPr>
        <w:spacing w:after="0"/>
      </w:pPr>
    </w:p>
    <w:p w:rsidR="001F30D8" w:rsidRDefault="001F30D8"/>
    <w:p w:rsidR="001F30D8" w:rsidRDefault="001F30D8"/>
    <w:p w:rsidR="001F30D8" w:rsidRDefault="001F30D8"/>
    <w:p w:rsidR="001F30D8" w:rsidRDefault="001F30D8"/>
    <w:p w:rsidR="001F30D8" w:rsidRDefault="001F30D8">
      <w:pPr>
        <w:spacing w:after="0"/>
      </w:pPr>
    </w:p>
    <w:p w:rsidR="001F30D8" w:rsidRDefault="001F30D8">
      <w:pPr>
        <w:spacing w:after="0"/>
      </w:pPr>
    </w:p>
    <w:p w:rsidR="001F30D8" w:rsidRDefault="001F30D8">
      <w:pPr>
        <w:spacing w:after="0"/>
      </w:pPr>
    </w:p>
    <w:p w:rsidR="001F30D8" w:rsidRDefault="001F30D8">
      <w:pPr>
        <w:spacing w:after="0"/>
      </w:pPr>
    </w:p>
    <w:p w:rsidR="001F30D8" w:rsidRDefault="001F30D8">
      <w:pPr>
        <w:spacing w:after="0"/>
      </w:pPr>
    </w:p>
    <w:p w:rsidR="001F30D8" w:rsidRDefault="001F30D8">
      <w:pPr>
        <w:spacing w:after="0"/>
      </w:pPr>
    </w:p>
    <w:p w:rsidR="001F30D8" w:rsidRDefault="001F30D8"/>
    <w:sectPr w:rsidR="001F30D8">
      <w:pgSz w:w="16838" w:h="11906"/>
      <w:pgMar w:top="1077" w:right="1077" w:bottom="1077" w:left="1077" w:header="709" w:footer="70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BE2"/>
    <w:multiLevelType w:val="multilevel"/>
    <w:tmpl w:val="3AE61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904A05"/>
    <w:multiLevelType w:val="multilevel"/>
    <w:tmpl w:val="DE5881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F91FFD"/>
    <w:multiLevelType w:val="multilevel"/>
    <w:tmpl w:val="C35EA1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E20847"/>
    <w:multiLevelType w:val="multilevel"/>
    <w:tmpl w:val="983CB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0A3A71"/>
    <w:multiLevelType w:val="multilevel"/>
    <w:tmpl w:val="7414B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264604"/>
    <w:multiLevelType w:val="multilevel"/>
    <w:tmpl w:val="731EA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F075CD"/>
    <w:multiLevelType w:val="multilevel"/>
    <w:tmpl w:val="04487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BF16E88"/>
    <w:multiLevelType w:val="multilevel"/>
    <w:tmpl w:val="6480F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E483EFF"/>
    <w:multiLevelType w:val="multilevel"/>
    <w:tmpl w:val="F8A0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18604B2"/>
    <w:multiLevelType w:val="multilevel"/>
    <w:tmpl w:val="856632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3F4353F"/>
    <w:multiLevelType w:val="multilevel"/>
    <w:tmpl w:val="F9828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CEC420F"/>
    <w:multiLevelType w:val="multilevel"/>
    <w:tmpl w:val="D99A7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5"/>
  </w:num>
  <w:num w:numId="3">
    <w:abstractNumId w:val="9"/>
  </w:num>
  <w:num w:numId="4">
    <w:abstractNumId w:val="2"/>
  </w:num>
  <w:num w:numId="5">
    <w:abstractNumId w:val="10"/>
  </w:num>
  <w:num w:numId="6">
    <w:abstractNumId w:val="1"/>
  </w:num>
  <w:num w:numId="7">
    <w:abstractNumId w:val="4"/>
  </w:num>
  <w:num w:numId="8">
    <w:abstractNumId w:val="6"/>
  </w:num>
  <w:num w:numId="9">
    <w:abstractNumId w:val="1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D8"/>
    <w:rsid w:val="001F30D8"/>
    <w:rsid w:val="00913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8276B-E9AE-44C4-95BC-945000CE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3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F5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13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0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careersbox.co.uk" TargetMode="External"/><Relationship Id="rId26" Type="http://schemas.openxmlformats.org/officeDocument/2006/relationships/hyperlink" Target="http://www.nationalcareersservice.direct.gov.uk" TargetMode="External"/><Relationship Id="rId3" Type="http://schemas.openxmlformats.org/officeDocument/2006/relationships/styles" Target="styles.xml"/><Relationship Id="rId21" Type="http://schemas.openxmlformats.org/officeDocument/2006/relationships/hyperlink" Target="http://www.learnhowtobecome.org" TargetMode="External"/><Relationship Id="rId34" Type="http://schemas.openxmlformats.org/officeDocument/2006/relationships/hyperlink" Target="mailto:aharris@sbeschool.org.uk" TargetMode="External"/><Relationship Id="rId7" Type="http://schemas.openxmlformats.org/officeDocument/2006/relationships/image" Target="media/image5.png"/><Relationship Id="rId12" Type="http://schemas.openxmlformats.org/officeDocument/2006/relationships/image" Target="media/image2.png"/><Relationship Id="rId17" Type="http://schemas.openxmlformats.org/officeDocument/2006/relationships/hyperlink" Target="http://www.nationalcareersservice.direct.gov.uk" TargetMode="External"/><Relationship Id="rId25" Type="http://schemas.openxmlformats.org/officeDocument/2006/relationships/hyperlink" Target="http://www.icloud.com" TargetMode="External"/><Relationship Id="rId33" Type="http://schemas.openxmlformats.org/officeDocument/2006/relationships/hyperlink" Target="http://www.gov.uk/apply-apprenticeshi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loud.com" TargetMode="External"/><Relationship Id="rId20" Type="http://schemas.openxmlformats.org/officeDocument/2006/relationships/hyperlink" Target="http://www.prospects.ac.uk" TargetMode="External"/><Relationship Id="rId29" Type="http://schemas.openxmlformats.org/officeDocument/2006/relationships/hyperlink" Target="http://www.prospects.ac.uk" TargetMode="External"/><Relationship Id="rId1" Type="http://schemas.openxmlformats.org/officeDocument/2006/relationships/customXml" Target="../customXml/item1.xml"/><Relationship Id="rId11" Type="http://schemas.openxmlformats.org/officeDocument/2006/relationships/image" Target="media/image1.png"/><Relationship Id="rId24" Type="http://schemas.openxmlformats.org/officeDocument/2006/relationships/hyperlink" Target="http://www.gov.uk/apply-apprenticeship" TargetMode="External"/><Relationship Id="rId32" Type="http://schemas.openxmlformats.org/officeDocument/2006/relationships/hyperlink" Target="http://www.ucas.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es@sbeschool.org.uk" TargetMode="External"/><Relationship Id="rId23" Type="http://schemas.openxmlformats.org/officeDocument/2006/relationships/hyperlink" Target="http://www.ucas.com" TargetMode="External"/><Relationship Id="rId28" Type="http://schemas.openxmlformats.org/officeDocument/2006/relationships/hyperlink" Target="http://www.stepintothenhs.uk" TargetMode="External"/><Relationship Id="rId36" Type="http://schemas.openxmlformats.org/officeDocument/2006/relationships/hyperlink" Target="mailto:aharris@sbeschool.org.uk" TargetMode="External"/><Relationship Id="rId10" Type="http://schemas.openxmlformats.org/officeDocument/2006/relationships/image" Target="media/image4.png"/><Relationship Id="rId19" Type="http://schemas.openxmlformats.org/officeDocument/2006/relationships/hyperlink" Target="http://www.stepintothenhs.uk" TargetMode="External"/><Relationship Id="rId31" Type="http://schemas.openxmlformats.org/officeDocument/2006/relationships/hyperlink" Target="http://www.russellgroup.ac.uk/for-students/school-and-college-in-the-uk/subject-choices-at-school-and-college"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7.png"/><Relationship Id="rId22" Type="http://schemas.openxmlformats.org/officeDocument/2006/relationships/hyperlink" Target="http://www.russellgroup.ac.uk/for-students/school-and-college-in-the-uk/subject-choices-at-school-and-college" TargetMode="External"/><Relationship Id="rId27" Type="http://schemas.openxmlformats.org/officeDocument/2006/relationships/hyperlink" Target="http://www.careersbox.co.uk" TargetMode="External"/><Relationship Id="rId30" Type="http://schemas.openxmlformats.org/officeDocument/2006/relationships/hyperlink" Target="http://www.learnhowtobecome.org" TargetMode="External"/><Relationship Id="rId35" Type="http://schemas.openxmlformats.org/officeDocument/2006/relationships/hyperlink" Target="mailto:aharris@sb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JV4sIY+2iF7YIzxeb6/EGRiJA==">AMUW2mXv9e7RouSTdeBkK+QPOXPTEfP32QUNTAasgdklJ2DsiZulLJ8xyo4t5YnkbT3xkbYyK5RFqrA1jSt/ZIevIyCql/0XtgsH8Suh0QPEPd0e330JRwE=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3458</Words>
  <Characters>19713</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Mayles, Mrs B</dc:creator>
  <cp:lastModifiedBy>Harris A (Mrs)</cp:lastModifiedBy>
  <cp:revision>2</cp:revision>
  <cp:lastPrinted>2020-09-01T10:49:00Z</cp:lastPrinted>
  <dcterms:created xsi:type="dcterms:W3CDTF">2020-09-01T10:49:00Z</dcterms:created>
  <dcterms:modified xsi:type="dcterms:W3CDTF">2020-09-01T10:49:00Z</dcterms:modified>
</cp:coreProperties>
</file>